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GF—2000—0208</w:t>
      </w:r>
    </w:p>
    <w:p>
      <w:pPr>
        <w:pStyle w:val="BodyText"/>
        <w:spacing w:before="0"/>
        <w:ind w:left="0"/>
        <w:rPr>
          <w:rFonts w:ascii="Times New Roman"/>
          <w:b/>
          <w:sz w:val="30"/>
        </w:rPr>
      </w:pPr>
    </w:p>
    <w:p>
      <w:pPr>
        <w:pStyle w:val="BodyText"/>
        <w:spacing w:before="0"/>
        <w:ind w:left="0"/>
        <w:rPr>
          <w:rFonts w:ascii="Times New Roman"/>
          <w:b/>
          <w:sz w:val="30"/>
        </w:rPr>
      </w:pPr>
    </w:p>
    <w:p>
      <w:pPr>
        <w:pStyle w:val="BodyText"/>
        <w:spacing w:before="0"/>
        <w:ind w:left="0"/>
        <w:rPr>
          <w:rFonts w:ascii="Times New Roman"/>
          <w:b/>
          <w:sz w:val="30"/>
        </w:rPr>
      </w:pPr>
    </w:p>
    <w:p>
      <w:pPr>
        <w:pStyle w:val="BodyText"/>
        <w:spacing w:before="0"/>
        <w:ind w:left="0"/>
        <w:rPr>
          <w:rFonts w:ascii="Times New Roman"/>
          <w:b/>
          <w:sz w:val="30"/>
        </w:rPr>
      </w:pPr>
    </w:p>
    <w:p>
      <w:pPr>
        <w:pStyle w:val="BodyText"/>
        <w:spacing w:before="2"/>
        <w:ind w:left="0"/>
        <w:rPr>
          <w:rFonts w:ascii="Times New Roman"/>
          <w:b/>
          <w:sz w:val="33"/>
        </w:rPr>
      </w:pPr>
    </w:p>
    <w:p>
      <w:pPr>
        <w:spacing w:before="1"/>
        <w:ind w:left="1852" w:right="0" w:firstLine="0"/>
        <w:jc w:val="left"/>
        <w:rPr>
          <w:rFonts w:ascii="方正小标宋_GBK" w:eastAsia="方正小标宋_GBK" w:hint="eastAsia"/>
          <w:sz w:val="40"/>
        </w:rPr>
      </w:pPr>
      <w:r>
        <w:rPr>
          <w:rFonts w:ascii="方正小标宋_GBK" w:eastAsia="方正小标宋_GBK" w:hint="eastAsia"/>
          <w:color w:val="231F20"/>
          <w:sz w:val="40"/>
        </w:rPr>
        <w:t>水利水电土建工程施工合同条件</w:t>
      </w:r>
    </w:p>
    <w:p>
      <w:pPr>
        <w:pStyle w:val="Heading1"/>
        <w:spacing w:before="152"/>
      </w:pPr>
      <w:r>
        <w:rPr>
          <w:color w:val="231F20"/>
        </w:rPr>
        <w:t>（示范文本）</w:t>
      </w: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0"/>
        <w:ind w:left="0"/>
        <w:rPr>
          <w:rFonts w:ascii="方正楷体_GBK"/>
          <w:sz w:val="30"/>
        </w:rPr>
      </w:pPr>
    </w:p>
    <w:p>
      <w:pPr>
        <w:pStyle w:val="BodyText"/>
        <w:spacing w:before="3"/>
        <w:ind w:left="0"/>
        <w:rPr>
          <w:rFonts w:ascii="方正楷体_GBK"/>
          <w:sz w:val="20"/>
        </w:rPr>
      </w:pPr>
    </w:p>
    <w:p>
      <w:pPr>
        <w:tabs>
          <w:tab w:pos="4341" w:val="left" w:leader="none"/>
          <w:tab w:pos="4862" w:val="left" w:leader="none"/>
          <w:tab w:pos="5383" w:val="left" w:leader="none"/>
          <w:tab w:pos="5629" w:val="left" w:leader="none"/>
          <w:tab w:pos="5903" w:val="left" w:leader="none"/>
          <w:tab w:pos="6424" w:val="left" w:leader="none"/>
          <w:tab w:pos="6917" w:val="left" w:leader="none"/>
        </w:tabs>
        <w:spacing w:line="266" w:lineRule="auto" w:before="0"/>
        <w:ind w:left="2101" w:right="2077" w:firstLine="2240"/>
        <w:jc w:val="left"/>
        <w:rPr>
          <w:rFonts w:ascii="方正楷体_GBK" w:eastAsia="方正楷体_GBK" w:hint="eastAsia"/>
          <w:sz w:val="28"/>
        </w:rPr>
      </w:pPr>
      <w:r>
        <w:rPr>
          <w:rFonts w:ascii="方正楷体_GBK" w:eastAsia="方正楷体_GBK" w:hint="eastAsia"/>
          <w:color w:val="231F20"/>
          <w:sz w:val="28"/>
        </w:rPr>
        <w:t>水</w:t>
        <w:tab/>
        <w:tab/>
        <w:tab/>
        <w:t>利</w:t>
        <w:tab/>
        <w:tab/>
        <w:t>部中华人民共和国</w:t>
        <w:tab/>
        <w:t>国</w:t>
        <w:tab/>
        <w:t>家</w:t>
        <w:tab/>
        <w:t>电</w:t>
        <w:tab/>
        <w:t>力</w:t>
        <w:tab/>
        <w:t>公</w:t>
        <w:tab/>
        <w:t>司</w:t>
      </w:r>
    </w:p>
    <w:p>
      <w:pPr>
        <w:spacing w:line="261" w:lineRule="auto" w:before="8"/>
        <w:ind w:left="4901" w:right="2149" w:hanging="560"/>
        <w:jc w:val="left"/>
        <w:rPr>
          <w:rFonts w:ascii="方正楷体_GBK" w:hAnsi="方正楷体_GBK" w:eastAsia="方正楷体_GBK" w:hint="eastAsia"/>
          <w:sz w:val="28"/>
        </w:rPr>
      </w:pPr>
      <w:r>
        <w:rPr>
          <w:rFonts w:ascii="方正楷体_GBK" w:hAnsi="方正楷体_GBK" w:eastAsia="方正楷体_GBK" w:hint="eastAsia"/>
          <w:color w:val="231F20"/>
          <w:sz w:val="28"/>
        </w:rPr>
        <w:t>国家工商行政管理总局二</w:t>
      </w:r>
      <w:r>
        <w:rPr>
          <w:color w:val="231F20"/>
          <w:sz w:val="28"/>
        </w:rPr>
        <w:t>○○○</w:t>
      </w:r>
      <w:r>
        <w:rPr>
          <w:rFonts w:ascii="方正楷体_GBK" w:hAnsi="方正楷体_GBK" w:eastAsia="方正楷体_GBK" w:hint="eastAsia"/>
          <w:color w:val="231F20"/>
          <w:sz w:val="28"/>
        </w:rPr>
        <w:t>年二月</w:t>
      </w:r>
    </w:p>
    <w:p>
      <w:pPr>
        <w:spacing w:after="0" w:line="261" w:lineRule="auto"/>
        <w:jc w:val="left"/>
        <w:rPr>
          <w:rFonts w:ascii="方正楷体_GBK" w:hAnsi="方正楷体_GBK" w:eastAsia="方正楷体_GBK" w:hint="eastAsia"/>
          <w:sz w:val="28"/>
        </w:rPr>
        <w:sectPr>
          <w:footerReference w:type="default" r:id="rId5"/>
          <w:footerReference w:type="even" r:id="rId6"/>
          <w:type w:val="continuous"/>
          <w:pgSz w:w="11910" w:h="16840"/>
          <w:pgMar w:footer="832" w:top="1580" w:bottom="1020" w:left="1300" w:right="1300"/>
          <w:pgNumType w:start="1"/>
        </w:sectPr>
      </w:pPr>
    </w:p>
    <w:p>
      <w:pPr>
        <w:pStyle w:val="BodyText"/>
        <w:spacing w:before="0"/>
        <w:ind w:left="0"/>
        <w:rPr>
          <w:rFonts w:ascii="方正楷体_GBK"/>
          <w:sz w:val="20"/>
        </w:rPr>
      </w:pPr>
    </w:p>
    <w:p>
      <w:pPr>
        <w:pStyle w:val="BodyText"/>
        <w:spacing w:before="1"/>
        <w:ind w:left="0"/>
        <w:rPr>
          <w:rFonts w:ascii="方正楷体_GBK"/>
          <w:sz w:val="23"/>
        </w:rPr>
      </w:pPr>
    </w:p>
    <w:p>
      <w:pPr>
        <w:tabs>
          <w:tab w:pos="1399" w:val="left" w:leader="none"/>
        </w:tabs>
        <w:spacing w:before="3"/>
        <w:ind w:left="0" w:right="0" w:firstLine="0"/>
        <w:jc w:val="center"/>
        <w:rPr>
          <w:rFonts w:ascii="方正黑体_GBK" w:eastAsia="方正黑体_GBK" w:hint="eastAsia"/>
          <w:sz w:val="28"/>
        </w:rPr>
      </w:pPr>
      <w:r>
        <w:rPr>
          <w:rFonts w:ascii="方正黑体_GBK" w:eastAsia="方正黑体_GBK" w:hint="eastAsia"/>
          <w:color w:val="231F20"/>
          <w:sz w:val="28"/>
        </w:rPr>
        <w:t>第一部分</w:t>
        <w:tab/>
        <w:t>通用合同条款</w:t>
      </w:r>
    </w:p>
    <w:p>
      <w:pPr>
        <w:pStyle w:val="BodyText"/>
        <w:spacing w:before="0"/>
        <w:ind w:left="0"/>
        <w:rPr>
          <w:rFonts w:ascii="方正黑体_GBK"/>
          <w:sz w:val="20"/>
        </w:rPr>
      </w:pPr>
    </w:p>
    <w:p>
      <w:pPr>
        <w:pStyle w:val="BodyText"/>
        <w:spacing w:before="0"/>
        <w:ind w:left="0"/>
        <w:rPr>
          <w:rFonts w:ascii="方正黑体_GBK"/>
          <w:sz w:val="15"/>
        </w:rPr>
      </w:pPr>
    </w:p>
    <w:p>
      <w:pPr>
        <w:pStyle w:val="Heading2"/>
        <w:spacing w:before="12"/>
        <w:ind w:left="657"/>
      </w:pPr>
      <w:r>
        <w:rPr>
          <w:color w:val="231F20"/>
        </w:rPr>
        <w:t>一、词语含义</w:t>
      </w:r>
    </w:p>
    <w:p>
      <w:pPr>
        <w:pStyle w:val="ListParagraph"/>
        <w:numPr>
          <w:ilvl w:val="0"/>
          <w:numId w:val="1"/>
        </w:numPr>
        <w:tabs>
          <w:tab w:pos="999" w:val="left" w:leader="none"/>
          <w:tab w:pos="1000" w:val="left" w:leader="none"/>
        </w:tabs>
        <w:spacing w:line="240" w:lineRule="auto" w:before="229" w:after="0"/>
        <w:ind w:left="999" w:right="0" w:hanging="342"/>
        <w:jc w:val="left"/>
        <w:rPr>
          <w:rFonts w:ascii="方正黑体_GBK" w:eastAsia="方正黑体_GBK" w:hint="eastAsia"/>
          <w:sz w:val="22"/>
        </w:rPr>
      </w:pPr>
      <w:r>
        <w:rPr>
          <w:rFonts w:ascii="方正黑体_GBK" w:eastAsia="方正黑体_GBK" w:hint="eastAsia"/>
          <w:color w:val="231F20"/>
          <w:sz w:val="22"/>
        </w:rPr>
        <w:t>词语含义</w:t>
      </w:r>
    </w:p>
    <w:p>
      <w:pPr>
        <w:pStyle w:val="BodyText"/>
        <w:spacing w:before="102"/>
        <w:ind w:left="657"/>
      </w:pPr>
      <w:r>
        <w:rPr>
          <w:color w:val="231F20"/>
        </w:rPr>
        <w:t>除上下文另有要求者外，合同中下列词语应具有本条所赋予的含义：</w:t>
      </w:r>
    </w:p>
    <w:p>
      <w:pPr>
        <w:pStyle w:val="ListParagraph"/>
        <w:numPr>
          <w:ilvl w:val="1"/>
          <w:numId w:val="1"/>
        </w:numPr>
        <w:tabs>
          <w:tab w:pos="1149" w:val="left" w:leader="none"/>
          <w:tab w:pos="1150" w:val="left" w:leader="none"/>
        </w:tabs>
        <w:spacing w:line="240" w:lineRule="auto" w:before="89" w:after="0"/>
        <w:ind w:left="1149" w:right="0" w:hanging="492"/>
        <w:jc w:val="left"/>
        <w:rPr>
          <w:sz w:val="22"/>
        </w:rPr>
      </w:pPr>
      <w:r>
        <w:rPr>
          <w:color w:val="231F20"/>
          <w:sz w:val="22"/>
        </w:rPr>
        <w:t>有关合同双方和监理人的词语</w:t>
      </w:r>
    </w:p>
    <w:p>
      <w:pPr>
        <w:pStyle w:val="BodyText"/>
        <w:ind w:left="547"/>
      </w:pPr>
      <w:r>
        <w:rPr>
          <w:color w:val="231F20"/>
        </w:rPr>
        <w:t>（ 1）发包人：指专用合同条款中写明的当事人。</w:t>
      </w:r>
    </w:p>
    <w:p>
      <w:pPr>
        <w:pStyle w:val="BodyText"/>
        <w:ind w:left="547"/>
      </w:pPr>
      <w:r>
        <w:rPr>
          <w:color w:val="231F20"/>
        </w:rPr>
        <w:t>（ 2）承包人：指与发包人签订本合同协议书的当事人。</w:t>
      </w:r>
    </w:p>
    <w:p>
      <w:pPr>
        <w:pStyle w:val="BodyText"/>
        <w:ind w:left="547"/>
      </w:pPr>
      <w:r>
        <w:rPr>
          <w:color w:val="231F20"/>
        </w:rPr>
        <w:t>（ 3）分包人：指本合同中从承包人处分包某一部分工程的当事人。</w:t>
      </w:r>
    </w:p>
    <w:p>
      <w:pPr>
        <w:pStyle w:val="BodyText"/>
        <w:ind w:left="547"/>
      </w:pPr>
      <w:r>
        <w:rPr>
          <w:color w:val="231F20"/>
        </w:rPr>
        <w:t>（ 4）监理人：指专用合同条款中写明的由发包人委托对本合同实施监理的当事人。</w:t>
      </w:r>
    </w:p>
    <w:p>
      <w:pPr>
        <w:pStyle w:val="ListParagraph"/>
        <w:numPr>
          <w:ilvl w:val="1"/>
          <w:numId w:val="1"/>
        </w:numPr>
        <w:tabs>
          <w:tab w:pos="1149" w:val="left" w:leader="none"/>
          <w:tab w:pos="1150" w:val="left" w:leader="none"/>
        </w:tabs>
        <w:spacing w:line="240" w:lineRule="auto" w:before="89" w:after="0"/>
        <w:ind w:left="1149" w:right="0" w:hanging="492"/>
        <w:jc w:val="left"/>
        <w:rPr>
          <w:sz w:val="22"/>
        </w:rPr>
      </w:pPr>
      <w:r>
        <w:rPr>
          <w:color w:val="231F20"/>
          <w:sz w:val="22"/>
        </w:rPr>
        <w:t>有关合同组成文件的词语</w:t>
      </w:r>
    </w:p>
    <w:p>
      <w:pPr>
        <w:pStyle w:val="BodyText"/>
        <w:spacing w:line="304" w:lineRule="auto"/>
        <w:ind w:left="217" w:right="201" w:firstLine="330"/>
      </w:pPr>
      <w:r>
        <w:rPr>
          <w:color w:val="231F20"/>
        </w:rPr>
        <w:t>（ 1）合同文件（或称合同</w:t>
      </w:r>
      <w:r>
        <w:rPr>
          <w:color w:val="231F20"/>
          <w:spacing w:val="-54"/>
        </w:rPr>
        <w:t>）</w:t>
      </w:r>
      <w:r>
        <w:rPr>
          <w:color w:val="231F20"/>
          <w:spacing w:val="-8"/>
        </w:rPr>
        <w:t>：指由发包人与承包人签订的为完成本合同规定的各项工作而列入本合同条件第 3 条的全部文件和图纸，以及其他在协议书中明确列入的文件和图纸。</w:t>
      </w:r>
    </w:p>
    <w:p>
      <w:pPr>
        <w:pStyle w:val="BodyText"/>
        <w:spacing w:line="304" w:lineRule="auto" w:before="21"/>
        <w:ind w:left="217" w:right="201" w:firstLine="330"/>
      </w:pPr>
      <w:r>
        <w:rPr>
          <w:color w:val="231F20"/>
        </w:rPr>
        <w:t>（ 2）</w:t>
      </w:r>
      <w:r>
        <w:rPr>
          <w:color w:val="231F20"/>
          <w:spacing w:val="-8"/>
        </w:rPr>
        <w:t>技术条款：指本合同的技术条款和由监理人作出或批准的对技术条款修改或补充的文件。</w:t>
      </w:r>
    </w:p>
    <w:p>
      <w:pPr>
        <w:pStyle w:val="BodyText"/>
        <w:spacing w:line="304" w:lineRule="auto" w:before="21"/>
        <w:ind w:left="217" w:right="201" w:firstLine="330"/>
      </w:pPr>
      <w:r>
        <w:rPr>
          <w:color w:val="231F20"/>
        </w:rPr>
        <w:t>（ </w:t>
      </w:r>
      <w:r>
        <w:rPr>
          <w:color w:val="231F20"/>
          <w:spacing w:val="2"/>
        </w:rPr>
        <w:t>3）</w:t>
      </w:r>
      <w:r>
        <w:rPr>
          <w:color w:val="231F20"/>
          <w:spacing w:val="-1"/>
        </w:rPr>
        <w:t>图纸：指列入合同的招标图纸和发包人按合同规定向承包人提供的所有图纸</w:t>
      </w:r>
      <w:r>
        <w:rPr>
          <w:color w:val="231F20"/>
          <w:spacing w:val="6"/>
        </w:rPr>
        <w:t>（包括</w:t>
      </w:r>
      <w:r>
        <w:rPr>
          <w:color w:val="231F20"/>
          <w:spacing w:val="3"/>
        </w:rPr>
        <w:t>配套说明和有关资料</w:t>
      </w:r>
      <w:r>
        <w:rPr>
          <w:color w:val="231F20"/>
          <w:spacing w:val="-110"/>
        </w:rPr>
        <w:t>）</w:t>
      </w:r>
      <w:r>
        <w:rPr>
          <w:color w:val="231F20"/>
          <w:spacing w:val="3"/>
        </w:rPr>
        <w:t>，以及列入合同的投标图纸和由承包人提交并经监理人批准的所有图纸</w:t>
      </w:r>
    </w:p>
    <w:p>
      <w:pPr>
        <w:pStyle w:val="BodyText"/>
        <w:spacing w:before="21"/>
        <w:ind w:left="107"/>
      </w:pPr>
      <w:r>
        <w:rPr>
          <w:color w:val="231F20"/>
        </w:rPr>
        <w:t>（包括配套说明和有关资料</w:t>
      </w:r>
      <w:r>
        <w:rPr>
          <w:color w:val="231F20"/>
          <w:spacing w:val="-83"/>
        </w:rPr>
        <w:t>）</w:t>
      </w:r>
      <w:r>
        <w:rPr>
          <w:color w:val="231F20"/>
        </w:rPr>
        <w:t>。</w:t>
      </w:r>
    </w:p>
    <w:p>
      <w:pPr>
        <w:pStyle w:val="BodyText"/>
        <w:spacing w:line="304" w:lineRule="auto"/>
        <w:ind w:left="217" w:right="201" w:firstLine="330"/>
      </w:pPr>
      <w:r>
        <w:rPr>
          <w:color w:val="231F20"/>
        </w:rPr>
        <w:t>（ 4）</w:t>
      </w:r>
      <w:r>
        <w:rPr>
          <w:color w:val="231F20"/>
          <w:spacing w:val="-5"/>
        </w:rPr>
        <w:t>施工图纸：指上述第</w:t>
      </w:r>
      <w:r>
        <w:rPr>
          <w:color w:val="231F20"/>
        </w:rPr>
        <w:t>（ 3）</w:t>
      </w:r>
      <w:r>
        <w:rPr>
          <w:color w:val="231F20"/>
          <w:spacing w:val="2"/>
        </w:rPr>
        <w:t>项规定的图纸中由发包人提供或由承包人提交并经监理人</w:t>
      </w:r>
      <w:r>
        <w:rPr>
          <w:color w:val="231F20"/>
        </w:rPr>
        <w:t>批准的直接用于施工的图纸（包括配套说明和有关资料</w:t>
      </w:r>
      <w:r>
        <w:rPr>
          <w:color w:val="231F20"/>
          <w:spacing w:val="-83"/>
        </w:rPr>
        <w:t>）</w:t>
      </w:r>
      <w:r>
        <w:rPr>
          <w:color w:val="231F20"/>
        </w:rPr>
        <w:t>。</w:t>
      </w:r>
    </w:p>
    <w:p>
      <w:pPr>
        <w:pStyle w:val="BodyText"/>
        <w:spacing w:line="304" w:lineRule="auto" w:before="20"/>
        <w:ind w:left="217" w:right="201" w:firstLine="330"/>
      </w:pPr>
      <w:r>
        <w:rPr>
          <w:color w:val="231F20"/>
        </w:rPr>
        <w:t>（ 5）</w:t>
      </w:r>
      <w:r>
        <w:rPr>
          <w:color w:val="231F20"/>
          <w:spacing w:val="-8"/>
        </w:rPr>
        <w:t>投标文件：指承包人为完成本合同规定的各项工作，在投标时按招标文件的要求向发包人提交的投标报价书、已标价的工程量清单及其他文件。</w:t>
      </w:r>
    </w:p>
    <w:p>
      <w:pPr>
        <w:pStyle w:val="BodyText"/>
        <w:spacing w:before="20"/>
        <w:ind w:left="547"/>
      </w:pPr>
      <w:r>
        <w:rPr>
          <w:color w:val="231F20"/>
        </w:rPr>
        <w:t>（ 6）中标通知书：指发包人正式向中标人授标的通知书。</w:t>
      </w:r>
    </w:p>
    <w:p>
      <w:pPr>
        <w:pStyle w:val="ListParagraph"/>
        <w:numPr>
          <w:ilvl w:val="1"/>
          <w:numId w:val="1"/>
        </w:numPr>
        <w:tabs>
          <w:tab w:pos="1149" w:val="left" w:leader="none"/>
          <w:tab w:pos="1150" w:val="left" w:leader="none"/>
        </w:tabs>
        <w:spacing w:line="240" w:lineRule="auto" w:before="89" w:after="0"/>
        <w:ind w:left="1149" w:right="0" w:hanging="492"/>
        <w:jc w:val="left"/>
        <w:rPr>
          <w:sz w:val="22"/>
        </w:rPr>
      </w:pPr>
      <w:r>
        <w:rPr>
          <w:color w:val="231F20"/>
          <w:sz w:val="22"/>
        </w:rPr>
        <w:t>有关工程和设备的词语</w:t>
      </w:r>
    </w:p>
    <w:p>
      <w:pPr>
        <w:pStyle w:val="BodyText"/>
        <w:ind w:left="547"/>
      </w:pPr>
      <w:r>
        <w:rPr>
          <w:color w:val="231F20"/>
        </w:rPr>
        <w:t>（ 1）工程：指永久工程和临时工程或为二者之一。</w:t>
      </w:r>
    </w:p>
    <w:p>
      <w:pPr>
        <w:pStyle w:val="BodyText"/>
        <w:ind w:left="547"/>
      </w:pPr>
      <w:r>
        <w:rPr>
          <w:color w:val="231F20"/>
        </w:rPr>
        <w:t>（ 2）</w:t>
      </w:r>
      <w:r>
        <w:rPr>
          <w:color w:val="231F20"/>
          <w:spacing w:val="-8"/>
        </w:rPr>
        <w:t>永久工程：指按本合同规定应建造的并移交给发包人使用的工程</w:t>
      </w:r>
      <w:r>
        <w:rPr>
          <w:color w:val="231F20"/>
        </w:rPr>
        <w:t>（包括工程设备</w:t>
      </w:r>
      <w:r>
        <w:rPr>
          <w:color w:val="231F20"/>
          <w:spacing w:val="-83"/>
        </w:rPr>
        <w:t>）</w:t>
      </w:r>
      <w:r>
        <w:rPr>
          <w:color w:val="231F20"/>
        </w:rPr>
        <w:t>。</w:t>
      </w:r>
    </w:p>
    <w:p>
      <w:pPr>
        <w:pStyle w:val="BodyText"/>
        <w:ind w:left="547"/>
      </w:pPr>
      <w:r>
        <w:rPr>
          <w:color w:val="231F20"/>
        </w:rPr>
        <w:t>（ 3）</w:t>
      </w:r>
      <w:r>
        <w:rPr>
          <w:color w:val="231F20"/>
          <w:spacing w:val="-13"/>
        </w:rPr>
        <w:t>临时工程：指为完成本合同规定的各项工作所需的各类非永久工程</w:t>
      </w:r>
      <w:r>
        <w:rPr>
          <w:color w:val="231F20"/>
          <w:spacing w:val="-5"/>
        </w:rPr>
        <w:t>（不包括施工设备</w:t>
      </w:r>
      <w:r>
        <w:rPr>
          <w:color w:val="231F20"/>
          <w:spacing w:val="-87"/>
        </w:rPr>
        <w:t>）</w:t>
      </w:r>
      <w:r>
        <w:rPr>
          <w:color w:val="231F20"/>
        </w:rPr>
        <w:t>。</w:t>
      </w:r>
    </w:p>
    <w:p>
      <w:pPr>
        <w:pStyle w:val="BodyText"/>
        <w:ind w:left="547"/>
      </w:pPr>
      <w:r>
        <w:rPr>
          <w:color w:val="231F20"/>
        </w:rPr>
        <w:t>（ 4）主体工程：指专用合同条款中写明的全部永久工程中的主要工程。</w:t>
      </w:r>
    </w:p>
    <w:p>
      <w:pPr>
        <w:pStyle w:val="BodyText"/>
        <w:ind w:left="547"/>
      </w:pPr>
      <w:r>
        <w:rPr>
          <w:color w:val="231F20"/>
        </w:rPr>
        <w:t>（ 5）单位工程：指专用合同条款中写明的单位工程。</w:t>
      </w:r>
    </w:p>
    <w:p>
      <w:pPr>
        <w:pStyle w:val="BodyText"/>
        <w:spacing w:line="304" w:lineRule="auto"/>
        <w:ind w:left="217" w:right="201" w:firstLine="330"/>
      </w:pPr>
      <w:r>
        <w:rPr>
          <w:color w:val="231F20"/>
        </w:rPr>
        <w:t>（ 6）</w:t>
      </w:r>
      <w:r>
        <w:rPr>
          <w:color w:val="231F20"/>
          <w:spacing w:val="-8"/>
        </w:rPr>
        <w:t>工程设备：指构成或计划构成永久工程一部分的机电设备、金属结构设备、仪器装置及其他类似的设备和装置。</w:t>
      </w:r>
    </w:p>
    <w:p>
      <w:pPr>
        <w:spacing w:after="0" w:line="304" w:lineRule="auto"/>
        <w:sectPr>
          <w:pgSz w:w="11910" w:h="16840"/>
          <w:pgMar w:header="0" w:footer="832" w:top="1580" w:bottom="1020" w:left="1200" w:right="1200"/>
        </w:sectPr>
      </w:pPr>
    </w:p>
    <w:p>
      <w:pPr>
        <w:pStyle w:val="BodyText"/>
        <w:spacing w:line="304" w:lineRule="auto" w:before="24"/>
        <w:ind w:right="69" w:firstLine="330"/>
      </w:pPr>
      <w:r>
        <w:rPr>
          <w:color w:val="231F20"/>
        </w:rPr>
        <w:t>（ 7）</w:t>
      </w:r>
      <w:r>
        <w:rPr>
          <w:color w:val="231F20"/>
          <w:spacing w:val="-8"/>
        </w:rPr>
        <w:t>施工设备：指为完成本合同规定的各项工作所需的全部用于施工的设备、器具和其他物品（不包括临时工程和材料</w:t>
      </w:r>
      <w:r>
        <w:rPr>
          <w:color w:val="231F20"/>
          <w:spacing w:val="-83"/>
        </w:rPr>
        <w:t>）</w:t>
      </w:r>
      <w:r>
        <w:rPr>
          <w:color w:val="231F20"/>
        </w:rPr>
        <w:t>。</w:t>
      </w:r>
    </w:p>
    <w:p>
      <w:pPr>
        <w:pStyle w:val="BodyText"/>
        <w:spacing w:before="21"/>
        <w:ind w:left="447"/>
      </w:pPr>
      <w:r>
        <w:rPr>
          <w:color w:val="231F20"/>
        </w:rPr>
        <w:t>（ 8）承包人设备：指承包人的施工设备。</w:t>
      </w:r>
    </w:p>
    <w:p>
      <w:pPr>
        <w:pStyle w:val="BodyText"/>
        <w:ind w:left="447"/>
      </w:pPr>
      <w:r>
        <w:rPr>
          <w:color w:val="231F20"/>
        </w:rPr>
        <w:t>（ 9）进点：指承包人接到开工通知后进入施工场地。</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有关工期的词语</w:t>
      </w:r>
    </w:p>
    <w:p>
      <w:pPr>
        <w:pStyle w:val="BodyText"/>
        <w:ind w:left="447"/>
      </w:pPr>
      <w:r>
        <w:rPr>
          <w:color w:val="231F20"/>
        </w:rPr>
        <w:t>（ 1）开工通知：指发包人委托监理人通知承包人开工的函件。</w:t>
      </w:r>
    </w:p>
    <w:p>
      <w:pPr>
        <w:pStyle w:val="BodyText"/>
        <w:spacing w:line="304" w:lineRule="auto"/>
        <w:ind w:right="69" w:firstLine="330"/>
      </w:pPr>
      <w:r>
        <w:rPr>
          <w:color w:val="231F20"/>
        </w:rPr>
        <w:t>（ 2）开工日期：指承包人接到监理人按第 18.1 款发出的开工通知的日期或开工通知中写明的开工日。</w:t>
      </w:r>
    </w:p>
    <w:p>
      <w:pPr>
        <w:pStyle w:val="BodyText"/>
        <w:spacing w:line="304" w:lineRule="auto" w:before="21"/>
        <w:ind w:right="69" w:firstLine="330"/>
      </w:pPr>
      <w:r>
        <w:rPr>
          <w:color w:val="231F20"/>
        </w:rPr>
        <w:t>（ 3）</w:t>
      </w:r>
      <w:r>
        <w:rPr>
          <w:color w:val="231F20"/>
          <w:spacing w:val="-8"/>
        </w:rPr>
        <w:t>完工日期：指本合同规定的全部工程、单位工程或部分工程完工和通过完工验收后在移交证书（或临时移交证书）中写明的完工日。</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有关合同价格和费用的词语</w:t>
      </w:r>
    </w:p>
    <w:p>
      <w:pPr>
        <w:pStyle w:val="BodyText"/>
        <w:ind w:left="447"/>
      </w:pPr>
      <w:r>
        <w:rPr>
          <w:color w:val="231F20"/>
        </w:rPr>
        <w:t>（ 1）合同价格：指协议书中写明的合同总金额。</w:t>
      </w:r>
    </w:p>
    <w:p>
      <w:pPr>
        <w:pStyle w:val="BodyText"/>
        <w:ind w:left="447"/>
      </w:pPr>
      <w:r>
        <w:rPr>
          <w:color w:val="231F20"/>
        </w:rPr>
        <w:t>（ 2）</w:t>
      </w:r>
      <w:r>
        <w:rPr>
          <w:color w:val="231F20"/>
          <w:spacing w:val="-16"/>
        </w:rPr>
        <w:t>费用：指为实施本合同所发生的开支，包括管理费和应分摊的其他费用，但不包括利润。</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其他词语</w:t>
      </w:r>
    </w:p>
    <w:p>
      <w:pPr>
        <w:pStyle w:val="BodyText"/>
        <w:spacing w:line="304" w:lineRule="auto"/>
        <w:ind w:right="69" w:firstLine="330"/>
      </w:pPr>
      <w:r>
        <w:rPr>
          <w:color w:val="231F20"/>
        </w:rPr>
        <w:t>（ 1）施工场地（或称工地</w:t>
      </w:r>
      <w:r>
        <w:rPr>
          <w:color w:val="231F20"/>
          <w:spacing w:val="-54"/>
        </w:rPr>
        <w:t>）</w:t>
      </w:r>
      <w:r>
        <w:rPr>
          <w:color w:val="231F20"/>
          <w:spacing w:val="-8"/>
        </w:rPr>
        <w:t>：指由发包人提供的用于本合同工程施工的场所以及在合同中指定作为施工场地组成部分的其他场所。</w:t>
      </w:r>
    </w:p>
    <w:p>
      <w:pPr>
        <w:pStyle w:val="BodyText"/>
        <w:spacing w:before="21"/>
        <w:ind w:left="447"/>
      </w:pPr>
      <w:r>
        <w:rPr>
          <w:color w:val="231F20"/>
        </w:rPr>
        <w:t>（ 2）</w:t>
      </w:r>
      <w:r>
        <w:rPr>
          <w:color w:val="231F20"/>
          <w:spacing w:val="-13"/>
        </w:rPr>
        <w:t>书面形式：指任何手写、打印、印刷的各种函件，包括电传、电报、传真和电子邮件。</w:t>
      </w:r>
    </w:p>
    <w:p>
      <w:pPr>
        <w:pStyle w:val="BodyText"/>
        <w:ind w:left="447"/>
      </w:pPr>
      <w:r>
        <w:rPr>
          <w:color w:val="231F20"/>
        </w:rPr>
        <w:t>（ 3）天：指日历天。</w:t>
      </w:r>
    </w:p>
    <w:p>
      <w:pPr>
        <w:pStyle w:val="BodyText"/>
        <w:spacing w:before="14"/>
        <w:ind w:left="0"/>
        <w:rPr>
          <w:sz w:val="15"/>
        </w:rPr>
      </w:pPr>
    </w:p>
    <w:p>
      <w:pPr>
        <w:pStyle w:val="Heading2"/>
        <w:spacing w:before="0"/>
      </w:pPr>
      <w:r>
        <w:rPr>
          <w:color w:val="231F20"/>
        </w:rPr>
        <w:t>二、合同文件</w:t>
      </w:r>
    </w:p>
    <w:p>
      <w:pPr>
        <w:pStyle w:val="ListParagraph"/>
        <w:numPr>
          <w:ilvl w:val="0"/>
          <w:numId w:val="1"/>
        </w:numPr>
        <w:tabs>
          <w:tab w:pos="899" w:val="left" w:leader="none"/>
          <w:tab w:pos="900" w:val="left" w:leader="none"/>
        </w:tabs>
        <w:spacing w:line="240" w:lineRule="auto" w:before="229" w:after="0"/>
        <w:ind w:left="899" w:right="0" w:hanging="342"/>
        <w:jc w:val="left"/>
        <w:rPr>
          <w:rFonts w:ascii="方正黑体_GBK" w:eastAsia="方正黑体_GBK" w:hint="eastAsia"/>
          <w:sz w:val="22"/>
        </w:rPr>
      </w:pPr>
      <w:r>
        <w:rPr>
          <w:rFonts w:ascii="方正黑体_GBK" w:eastAsia="方正黑体_GBK" w:hint="eastAsia"/>
          <w:color w:val="231F20"/>
          <w:sz w:val="22"/>
        </w:rPr>
        <w:t>语言文字和法律</w:t>
      </w:r>
    </w:p>
    <w:p>
      <w:pPr>
        <w:pStyle w:val="ListParagraph"/>
        <w:numPr>
          <w:ilvl w:val="1"/>
          <w:numId w:val="1"/>
        </w:numPr>
        <w:tabs>
          <w:tab w:pos="1049" w:val="left" w:leader="none"/>
          <w:tab w:pos="1050" w:val="left" w:leader="none"/>
        </w:tabs>
        <w:spacing w:line="240" w:lineRule="auto" w:before="102" w:after="0"/>
        <w:ind w:left="1049" w:right="0" w:hanging="492"/>
        <w:jc w:val="left"/>
        <w:rPr>
          <w:sz w:val="22"/>
        </w:rPr>
      </w:pPr>
      <w:r>
        <w:rPr>
          <w:color w:val="231F20"/>
          <w:sz w:val="22"/>
        </w:rPr>
        <w:t>语言文字</w:t>
      </w:r>
    </w:p>
    <w:p>
      <w:pPr>
        <w:pStyle w:val="BodyText"/>
        <w:ind w:left="557"/>
      </w:pPr>
      <w:r>
        <w:rPr>
          <w:color w:val="231F20"/>
        </w:rPr>
        <w:t>本合同使用的语言文字为汉语文字。</w:t>
      </w:r>
    </w:p>
    <w:p>
      <w:pPr>
        <w:pStyle w:val="ListParagraph"/>
        <w:numPr>
          <w:ilvl w:val="1"/>
          <w:numId w:val="1"/>
        </w:numPr>
        <w:tabs>
          <w:tab w:pos="1067" w:val="left" w:leader="none"/>
          <w:tab w:pos="1068" w:val="left" w:leader="none"/>
        </w:tabs>
        <w:spacing w:line="240" w:lineRule="auto" w:before="89" w:after="0"/>
        <w:ind w:left="1067" w:right="0" w:hanging="510"/>
        <w:jc w:val="left"/>
        <w:rPr>
          <w:sz w:val="22"/>
        </w:rPr>
      </w:pPr>
      <w:r>
        <w:rPr>
          <w:color w:val="231F20"/>
          <w:spacing w:val="2"/>
          <w:sz w:val="22"/>
        </w:rPr>
        <w:t>法律、法规和规章</w:t>
      </w:r>
    </w:p>
    <w:p>
      <w:pPr>
        <w:pStyle w:val="BodyText"/>
        <w:spacing w:line="304" w:lineRule="auto"/>
        <w:ind w:right="69" w:firstLine="440"/>
      </w:pPr>
      <w:r>
        <w:rPr>
          <w:color w:val="231F20"/>
        </w:rPr>
        <w:t>适用于本合同的法律、法规和规章是中华人民共和国国家的法律、行政法规以及国务院有关部门的规章和工程所在地的省、自治区、直辖市的地方法规和规章。</w:t>
      </w:r>
    </w:p>
    <w:p>
      <w:pPr>
        <w:pStyle w:val="ListParagraph"/>
        <w:numPr>
          <w:ilvl w:val="0"/>
          <w:numId w:val="1"/>
        </w:numPr>
        <w:tabs>
          <w:tab w:pos="899" w:val="left" w:leader="none"/>
          <w:tab w:pos="900" w:val="left" w:leader="none"/>
        </w:tabs>
        <w:spacing w:line="240" w:lineRule="auto" w:before="14" w:after="0"/>
        <w:ind w:left="899" w:right="0" w:hanging="342"/>
        <w:jc w:val="left"/>
        <w:rPr>
          <w:rFonts w:ascii="方正黑体_GBK" w:eastAsia="方正黑体_GBK" w:hint="eastAsia"/>
          <w:sz w:val="22"/>
        </w:rPr>
      </w:pPr>
      <w:r>
        <w:rPr>
          <w:rFonts w:ascii="方正黑体_GBK" w:eastAsia="方正黑体_GBK" w:hint="eastAsia"/>
          <w:color w:val="231F20"/>
          <w:sz w:val="22"/>
        </w:rPr>
        <w:t>合同文件的优先顺序</w:t>
      </w:r>
    </w:p>
    <w:p>
      <w:pPr>
        <w:pStyle w:val="BodyText"/>
        <w:spacing w:line="304" w:lineRule="auto" w:before="101"/>
        <w:ind w:right="69" w:firstLine="440"/>
      </w:pPr>
      <w:r>
        <w:rPr>
          <w:color w:val="231F20"/>
        </w:rPr>
        <w:t>组成合同的各项文件应互相解释，互为说明。当合同文件出现含糊不清或不一致时，由监理人作出解释。除合同另有规定外，解释合同文件的优先顺序规定在专用合同条款内。</w:t>
      </w:r>
    </w:p>
    <w:p>
      <w:pPr>
        <w:pStyle w:val="Heading2"/>
        <w:spacing w:before="170"/>
      </w:pPr>
      <w:r>
        <w:rPr>
          <w:color w:val="231F20"/>
        </w:rPr>
        <w:t>三、双方的一般义务和责任</w:t>
      </w:r>
    </w:p>
    <w:p>
      <w:pPr>
        <w:pStyle w:val="ListParagraph"/>
        <w:numPr>
          <w:ilvl w:val="0"/>
          <w:numId w:val="1"/>
        </w:numPr>
        <w:tabs>
          <w:tab w:pos="899" w:val="left" w:leader="none"/>
          <w:tab w:pos="900" w:val="left" w:leader="none"/>
        </w:tabs>
        <w:spacing w:line="240" w:lineRule="auto" w:before="228" w:after="0"/>
        <w:ind w:left="899" w:right="0" w:hanging="342"/>
        <w:jc w:val="left"/>
        <w:rPr>
          <w:rFonts w:ascii="方正黑体_GBK" w:eastAsia="方正黑体_GBK" w:hint="eastAsia"/>
          <w:sz w:val="22"/>
        </w:rPr>
      </w:pPr>
      <w:r>
        <w:rPr>
          <w:rFonts w:ascii="方正黑体_GBK" w:eastAsia="方正黑体_GBK" w:hint="eastAsia"/>
          <w:color w:val="231F20"/>
          <w:sz w:val="22"/>
        </w:rPr>
        <w:t>发包人的一般义务和责任</w:t>
      </w:r>
    </w:p>
    <w:p>
      <w:pPr>
        <w:pStyle w:val="ListParagraph"/>
        <w:numPr>
          <w:ilvl w:val="1"/>
          <w:numId w:val="1"/>
        </w:numPr>
        <w:tabs>
          <w:tab w:pos="1049" w:val="left" w:leader="none"/>
          <w:tab w:pos="1050" w:val="left" w:leader="none"/>
        </w:tabs>
        <w:spacing w:line="240" w:lineRule="auto" w:before="101" w:after="0"/>
        <w:ind w:left="1049" w:right="0" w:hanging="492"/>
        <w:jc w:val="left"/>
        <w:rPr>
          <w:sz w:val="22"/>
        </w:rPr>
      </w:pPr>
      <w:r>
        <w:rPr>
          <w:color w:val="231F20"/>
          <w:sz w:val="22"/>
        </w:rPr>
        <w:t>遵守法律、法规和规章</w:t>
      </w:r>
    </w:p>
    <w:p>
      <w:pPr>
        <w:spacing w:after="0" w:line="240" w:lineRule="auto"/>
        <w:jc w:val="left"/>
        <w:rPr>
          <w:sz w:val="22"/>
        </w:rPr>
        <w:sectPr>
          <w:pgSz w:w="11910" w:h="16840"/>
          <w:pgMar w:header="0" w:footer="832" w:top="1580" w:bottom="1020" w:left="1300" w:right="1280"/>
        </w:sectPr>
      </w:pPr>
    </w:p>
    <w:p>
      <w:pPr>
        <w:pStyle w:val="BodyText"/>
        <w:spacing w:line="304" w:lineRule="auto" w:before="24"/>
        <w:ind w:firstLine="440"/>
      </w:pPr>
      <w:r>
        <w:rPr>
          <w:color w:val="231F20"/>
        </w:rPr>
        <w:t>发包人应在其实施本合同的全部工作中遵守与本合同有关的法律、法规和规章，并应承担由于其自身违反上述法律、法规和规章的责任。</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发布开工通知</w:t>
      </w:r>
    </w:p>
    <w:p>
      <w:pPr>
        <w:pStyle w:val="BodyText"/>
        <w:ind w:left="557"/>
      </w:pPr>
      <w:r>
        <w:rPr>
          <w:color w:val="231F20"/>
        </w:rPr>
        <w:t>发包人应委托监理人按合同规定的日期前向承包人发布开工通知。</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安排监理人及时进点实施监理</w:t>
      </w:r>
    </w:p>
    <w:p>
      <w:pPr>
        <w:pStyle w:val="BodyText"/>
        <w:ind w:left="557"/>
      </w:pPr>
      <w:r>
        <w:rPr>
          <w:color w:val="231F20"/>
        </w:rPr>
        <w:t>发包人应在开工通知发出前安排监理人及时进入工地开展监理工作。</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提供施工用地</w:t>
      </w:r>
    </w:p>
    <w:p>
      <w:pPr>
        <w:pStyle w:val="BodyText"/>
        <w:spacing w:line="304" w:lineRule="auto"/>
        <w:ind w:firstLine="440"/>
      </w:pPr>
      <w:r>
        <w:rPr>
          <w:color w:val="231F20"/>
        </w:rPr>
        <w:t>发包人应按专用合同条款规定的承包人用地范围和期限，办清施工用地范围内的征地和移民，按时向承包人提供施工用地。</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提供部分施工准备工程</w:t>
      </w:r>
    </w:p>
    <w:p>
      <w:pPr>
        <w:pStyle w:val="BodyText"/>
        <w:spacing w:line="304" w:lineRule="auto" w:before="88"/>
        <w:ind w:firstLine="440"/>
      </w:pPr>
      <w:r>
        <w:rPr>
          <w:color w:val="231F20"/>
        </w:rPr>
        <w:t>发包人应按合同规定，完成由发包人承担的施工准备工程，并按合同规定的期限提供承包人使用。</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提供测量基准</w:t>
      </w:r>
    </w:p>
    <w:p>
      <w:pPr>
        <w:pStyle w:val="BodyText"/>
        <w:spacing w:line="304" w:lineRule="auto"/>
        <w:ind w:right="103" w:firstLine="440"/>
      </w:pPr>
      <w:r>
        <w:rPr>
          <w:color w:val="231F20"/>
        </w:rPr>
        <w:t>发包人应按第 27.1 款和《技术条款》的有关规定，委托监理人向承包人提供现场测量基准点、基准线和水准点及其有关资料。</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办理保险</w:t>
      </w:r>
    </w:p>
    <w:p>
      <w:pPr>
        <w:pStyle w:val="BodyText"/>
        <w:ind w:left="557"/>
      </w:pPr>
      <w:r>
        <w:rPr>
          <w:color w:val="231F20"/>
        </w:rPr>
        <w:t>发包人应按合同规定负责办理由发包人投保的保险。</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提供已有的水文和地质勘探资料</w:t>
      </w:r>
    </w:p>
    <w:p>
      <w:pPr>
        <w:pStyle w:val="BodyText"/>
        <w:spacing w:line="304" w:lineRule="auto"/>
        <w:ind w:firstLine="440"/>
      </w:pPr>
      <w:r>
        <w:rPr>
          <w:color w:val="231F20"/>
        </w:rPr>
        <w:t>发包人应向承包人提供已有的与本合同工程有关的水文和地质勘探资料，但只对列入合同文件的水文和地质勘探资料负责，不对承包人使用上述资料所作的分析、判断和推论负责。</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及时提供图纸</w:t>
      </w:r>
    </w:p>
    <w:p>
      <w:pPr>
        <w:pStyle w:val="BodyText"/>
        <w:ind w:left="557"/>
      </w:pPr>
      <w:r>
        <w:rPr>
          <w:color w:val="231F20"/>
        </w:rPr>
        <w:t>发包人应委托监理人在合同规定的期限内向承包人提供应由发包人负责提供的图纸。</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支付合同价款</w:t>
      </w:r>
    </w:p>
    <w:p>
      <w:pPr>
        <w:pStyle w:val="BodyText"/>
        <w:ind w:left="557"/>
      </w:pPr>
      <w:r>
        <w:rPr>
          <w:color w:val="231F20"/>
        </w:rPr>
        <w:t>发包人应按第 33 条、第 35 条和第 36 条的规定支付合同价款。</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统一管理工程的文明施工</w:t>
      </w:r>
    </w:p>
    <w:p>
      <w:pPr>
        <w:pStyle w:val="BodyText"/>
        <w:spacing w:line="304" w:lineRule="auto"/>
        <w:ind w:firstLine="440"/>
      </w:pPr>
      <w:r>
        <w:rPr>
          <w:color w:val="231F20"/>
        </w:rPr>
        <w:t>发包人应按国家有关规定负责统一管理本工程的文明施工，为承包人实现文明施工目标创造必要的条件。</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治安保卫和施工安全</w:t>
      </w:r>
    </w:p>
    <w:p>
      <w:pPr>
        <w:pStyle w:val="BodyText"/>
        <w:ind w:left="557"/>
      </w:pPr>
      <w:r>
        <w:rPr>
          <w:color w:val="231F20"/>
        </w:rPr>
        <w:t>发包人应按第 29 条的有关规定履行其治安保卫和施工安全职责。</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环境保护</w:t>
      </w:r>
    </w:p>
    <w:p>
      <w:pPr>
        <w:pStyle w:val="BodyText"/>
        <w:spacing w:line="304" w:lineRule="auto"/>
        <w:ind w:firstLine="440"/>
      </w:pPr>
      <w:r>
        <w:rPr>
          <w:color w:val="231F20"/>
        </w:rPr>
        <w:t>发包人应按环境保护的法律、法规和规章的有关规定统一筹划本工程的环境保护工作，负责审查承包人按第 30 条规定所采取的环境保护措施，并监督其实施。</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组织工程验收</w:t>
      </w:r>
    </w:p>
    <w:p>
      <w:pPr>
        <w:spacing w:after="0" w:line="240" w:lineRule="auto"/>
        <w:jc w:val="left"/>
        <w:rPr>
          <w:sz w:val="22"/>
        </w:rPr>
        <w:sectPr>
          <w:pgSz w:w="11910" w:h="16840"/>
          <w:pgMar w:header="0" w:footer="832" w:top="1580" w:bottom="1020" w:left="1300" w:right="1300"/>
        </w:sectPr>
      </w:pPr>
    </w:p>
    <w:p>
      <w:pPr>
        <w:pStyle w:val="BodyText"/>
        <w:spacing w:before="24"/>
        <w:ind w:left="557"/>
      </w:pPr>
      <w:r>
        <w:rPr>
          <w:color w:val="231F20"/>
        </w:rPr>
        <w:t>发包人应按第 52 条的规定主持和组织工程的完工验收。</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其他一般义务和责任</w:t>
      </w:r>
    </w:p>
    <w:p>
      <w:pPr>
        <w:pStyle w:val="BodyText"/>
        <w:ind w:left="557"/>
      </w:pPr>
      <w:r>
        <w:rPr>
          <w:color w:val="231F20"/>
        </w:rPr>
        <w:t>发包人应承担专用合同条款中规定的其他一般义务和责任。</w:t>
      </w:r>
    </w:p>
    <w:p>
      <w:pPr>
        <w:pStyle w:val="ListParagraph"/>
        <w:numPr>
          <w:ilvl w:val="0"/>
          <w:numId w:val="1"/>
        </w:numPr>
        <w:tabs>
          <w:tab w:pos="899" w:val="left" w:leader="none"/>
          <w:tab w:pos="900" w:val="left" w:leader="none"/>
        </w:tabs>
        <w:spacing w:line="240" w:lineRule="auto" w:before="83" w:after="0"/>
        <w:ind w:left="899" w:right="0" w:hanging="342"/>
        <w:jc w:val="left"/>
        <w:rPr>
          <w:rFonts w:ascii="方正黑体_GBK" w:eastAsia="方正黑体_GBK" w:hint="eastAsia"/>
          <w:sz w:val="22"/>
        </w:rPr>
      </w:pPr>
      <w:r>
        <w:rPr>
          <w:rFonts w:ascii="方正黑体_GBK" w:eastAsia="方正黑体_GBK" w:hint="eastAsia"/>
          <w:color w:val="231F20"/>
          <w:sz w:val="22"/>
        </w:rPr>
        <w:t>承包人的一般义务和责任</w:t>
      </w:r>
    </w:p>
    <w:p>
      <w:pPr>
        <w:pStyle w:val="ListParagraph"/>
        <w:numPr>
          <w:ilvl w:val="1"/>
          <w:numId w:val="1"/>
        </w:numPr>
        <w:tabs>
          <w:tab w:pos="1049" w:val="left" w:leader="none"/>
          <w:tab w:pos="1050" w:val="left" w:leader="none"/>
        </w:tabs>
        <w:spacing w:line="240" w:lineRule="auto" w:before="102" w:after="0"/>
        <w:ind w:left="1049" w:right="0" w:hanging="492"/>
        <w:jc w:val="left"/>
        <w:rPr>
          <w:sz w:val="22"/>
        </w:rPr>
      </w:pPr>
      <w:r>
        <w:rPr>
          <w:color w:val="231F20"/>
          <w:sz w:val="22"/>
        </w:rPr>
        <w:t>遵守法律、法规和规章</w:t>
      </w:r>
    </w:p>
    <w:p>
      <w:pPr>
        <w:pStyle w:val="BodyText"/>
        <w:spacing w:line="304" w:lineRule="auto"/>
        <w:ind w:firstLine="440"/>
      </w:pPr>
      <w:r>
        <w:rPr>
          <w:color w:val="231F20"/>
        </w:rPr>
        <w:t>承包人应在其负责的各项工作中遵守与本合同工程有关的法律、法规和规章，并保证发包人免于承担由于承包人违反上述法律、法规和规章的任何责任。</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提交履约担保证件</w:t>
      </w:r>
    </w:p>
    <w:p>
      <w:pPr>
        <w:pStyle w:val="BodyText"/>
        <w:ind w:left="557"/>
      </w:pPr>
      <w:r>
        <w:rPr>
          <w:color w:val="231F20"/>
        </w:rPr>
        <w:t>承包人应按第 6 条的规定向发包人提交履约担保证件。</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及时进点施工</w:t>
      </w:r>
    </w:p>
    <w:p>
      <w:pPr>
        <w:pStyle w:val="BodyText"/>
        <w:spacing w:line="304" w:lineRule="auto"/>
        <w:ind w:firstLine="440"/>
      </w:pPr>
      <w:r>
        <w:rPr>
          <w:color w:val="231F20"/>
        </w:rPr>
        <w:t>承包人应在接到开工通知后及时调遣人员和调配施工设备、材料进入工地，按施工总进度要求完成施工准备工作。</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执行监理人的指示，按时完成各项承包工作</w:t>
      </w:r>
    </w:p>
    <w:p>
      <w:pPr>
        <w:pStyle w:val="BodyText"/>
        <w:spacing w:line="304" w:lineRule="auto" w:before="88"/>
        <w:ind w:right="116" w:firstLine="440"/>
        <w:jc w:val="both"/>
      </w:pPr>
      <w:r>
        <w:rPr>
          <w:color w:val="231F20"/>
        </w:rPr>
        <w:t>承包人应认真执行监理人发出的与合同有关的任何指示，按合同规定的内容和时间完成全部承包工作。除合同另有规定外，承包人应提供为完成本合同工作所需的劳务、材料、施工设备、工程设备和其他物品。</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提交施工组织设计、施工措施计划和部分施工图纸</w:t>
      </w:r>
    </w:p>
    <w:p>
      <w:pPr>
        <w:pStyle w:val="BodyText"/>
        <w:spacing w:line="304" w:lineRule="auto"/>
        <w:ind w:firstLine="440"/>
      </w:pPr>
      <w:r>
        <w:rPr>
          <w:color w:val="231F20"/>
        </w:rPr>
        <w:t>承包人应按合同规定的内容和时间要求，编制施工组织设计、施工措施计划和由承包人负责的施工图纸，报送监理人审批，并对现场作业和施工方法的完备和可靠负全部责任。</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办理保险</w:t>
      </w:r>
    </w:p>
    <w:p>
      <w:pPr>
        <w:pStyle w:val="BodyText"/>
        <w:ind w:left="557"/>
      </w:pPr>
      <w:r>
        <w:rPr>
          <w:color w:val="231F20"/>
        </w:rPr>
        <w:t>承包人应按合同规定负责办理由承包人投保的保险。</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文明施工</w:t>
      </w:r>
    </w:p>
    <w:p>
      <w:pPr>
        <w:pStyle w:val="BodyText"/>
        <w:spacing w:line="304" w:lineRule="auto"/>
        <w:ind w:firstLine="440"/>
      </w:pPr>
      <w:r>
        <w:rPr>
          <w:color w:val="231F20"/>
        </w:rPr>
        <w:t>承包人应按国家有关规定文明施工，并应在施工组织设计中提出施工全过程的文明施工措施计划。</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保证工程质量</w:t>
      </w:r>
    </w:p>
    <w:p>
      <w:pPr>
        <w:pStyle w:val="BodyText"/>
        <w:ind w:left="557"/>
      </w:pPr>
      <w:r>
        <w:rPr>
          <w:color w:val="231F20"/>
        </w:rPr>
        <w:t>承包人应严格按施工图纸和《技术条款》中规定的质量要求完成各项工作。</w:t>
      </w:r>
    </w:p>
    <w:p>
      <w:pPr>
        <w:pStyle w:val="ListParagraph"/>
        <w:numPr>
          <w:ilvl w:val="1"/>
          <w:numId w:val="1"/>
        </w:numPr>
        <w:tabs>
          <w:tab w:pos="1049" w:val="left" w:leader="none"/>
          <w:tab w:pos="1050" w:val="left" w:leader="none"/>
        </w:tabs>
        <w:spacing w:line="240" w:lineRule="auto" w:before="89" w:after="0"/>
        <w:ind w:left="1049" w:right="0" w:hanging="492"/>
        <w:jc w:val="left"/>
        <w:rPr>
          <w:sz w:val="22"/>
        </w:rPr>
      </w:pPr>
      <w:r>
        <w:rPr>
          <w:color w:val="231F20"/>
          <w:sz w:val="22"/>
        </w:rPr>
        <w:t>保证工程施工和人员的安全</w:t>
      </w:r>
    </w:p>
    <w:p>
      <w:pPr>
        <w:pStyle w:val="BodyText"/>
        <w:spacing w:line="304" w:lineRule="auto"/>
        <w:ind w:right="103" w:firstLine="440"/>
      </w:pPr>
      <w:r>
        <w:rPr>
          <w:color w:val="231F20"/>
        </w:rPr>
        <w:t>承包人应按第 29 条的有关规定认真采取施工安全措施，确保工程和由其管辖的人员、材料、设施和设备的安全，并应采取有效措施防止工地附近建筑物和居民的生命财产遭受损害。</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环境保护</w:t>
      </w:r>
    </w:p>
    <w:p>
      <w:pPr>
        <w:pStyle w:val="BodyText"/>
        <w:spacing w:line="304" w:lineRule="auto"/>
        <w:ind w:right="112" w:firstLine="440"/>
        <w:jc w:val="both"/>
      </w:pPr>
      <w:r>
        <w:rPr>
          <w:color w:val="231F20"/>
        </w:rPr>
        <w:t>承包人应遵守环境保护的法律、法规和规章，并应按第 3 ０条的规定采取必要的措施保护工地及其附近的环境，免受因其施工引起的污染、噪声和其他因素所造成的环境破坏和人员伤害及财产损失。</w:t>
      </w:r>
    </w:p>
    <w:p>
      <w:pPr>
        <w:spacing w:after="0" w:line="304" w:lineRule="auto"/>
        <w:jc w:val="both"/>
        <w:sectPr>
          <w:pgSz w:w="11910" w:h="16840"/>
          <w:pgMar w:header="0" w:footer="832" w:top="1580" w:bottom="1020" w:left="1300" w:right="1300"/>
        </w:sectPr>
      </w:pPr>
    </w:p>
    <w:p>
      <w:pPr>
        <w:pStyle w:val="ListParagraph"/>
        <w:numPr>
          <w:ilvl w:val="1"/>
          <w:numId w:val="1"/>
        </w:numPr>
        <w:tabs>
          <w:tab w:pos="1158" w:val="left" w:leader="none"/>
          <w:tab w:pos="1159" w:val="left" w:leader="none"/>
        </w:tabs>
        <w:spacing w:line="240" w:lineRule="auto" w:before="24" w:after="0"/>
        <w:ind w:left="1158" w:right="0" w:hanging="601"/>
        <w:jc w:val="left"/>
        <w:rPr>
          <w:sz w:val="22"/>
        </w:rPr>
      </w:pPr>
      <w:r>
        <w:rPr>
          <w:color w:val="231F20"/>
          <w:sz w:val="22"/>
        </w:rPr>
        <w:t>避免施工对公众利益的损害</w:t>
      </w:r>
    </w:p>
    <w:p>
      <w:pPr>
        <w:pStyle w:val="BodyText"/>
        <w:spacing w:line="304" w:lineRule="auto"/>
        <w:ind w:firstLine="440"/>
      </w:pPr>
      <w:r>
        <w:rPr>
          <w:color w:val="231F20"/>
        </w:rPr>
        <w:t>承包人在进行本合同规定的各项工作时，应保障发包人和其他人的财产和利益以及使用公用道路、水源和公共设施的权利免受损害。</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为其他人提供方便</w:t>
      </w:r>
    </w:p>
    <w:p>
      <w:pPr>
        <w:pStyle w:val="BodyText"/>
        <w:spacing w:line="304" w:lineRule="auto"/>
        <w:ind w:right="114" w:firstLine="440"/>
        <w:jc w:val="both"/>
      </w:pPr>
      <w:r>
        <w:rPr>
          <w:color w:val="231F20"/>
        </w:rPr>
        <w:t>承包人应按监理人的指示为其他人在本工地或附近实施与本工程有关的其他各项工作提供必要的条件。除合同另有规定外，有关提供条件的内容和费用应在监理人的协调下另行签订协议。若达不成协议，则由监理人作出决定，有关各方遵照执行。</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工程维护和保修</w:t>
      </w:r>
    </w:p>
    <w:p>
      <w:pPr>
        <w:pStyle w:val="BodyText"/>
        <w:spacing w:line="304" w:lineRule="auto" w:before="88"/>
        <w:ind w:right="114" w:firstLine="440"/>
        <w:jc w:val="both"/>
      </w:pPr>
      <w:r>
        <w:rPr>
          <w:color w:val="231F20"/>
        </w:rPr>
        <w:t>工程未移交发包人前，承包人应负责照管和维护，移交后承包人应承担保修期内的缺陷修复工作。若工程移交证书颁发时尚有部分未完工程需在保修期内继续完成，则承包人还应负责该未完工程的照管和维护工作，直至完工后移交给发包人为止。</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完工清场和撤离</w:t>
      </w:r>
    </w:p>
    <w:p>
      <w:pPr>
        <w:pStyle w:val="BodyText"/>
        <w:ind w:left="557"/>
      </w:pPr>
      <w:r>
        <w:rPr>
          <w:color w:val="231F20"/>
        </w:rPr>
        <w:t>承包人应在合同规定的期限内完成工地清理并按期撤退其人员、施工设备和剩余材料。</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其他一般义务和责任</w:t>
      </w:r>
    </w:p>
    <w:p>
      <w:pPr>
        <w:pStyle w:val="BodyText"/>
        <w:ind w:left="557"/>
      </w:pPr>
      <w:r>
        <w:rPr>
          <w:color w:val="231F20"/>
        </w:rPr>
        <w:t>承包人应承担专用合同条款中规定的其他一般义务和责任。</w:t>
      </w:r>
    </w:p>
    <w:p>
      <w:pPr>
        <w:pStyle w:val="BodyText"/>
        <w:spacing w:before="14"/>
        <w:ind w:left="0"/>
        <w:rPr>
          <w:sz w:val="15"/>
        </w:rPr>
      </w:pPr>
    </w:p>
    <w:p>
      <w:pPr>
        <w:pStyle w:val="Heading2"/>
        <w:spacing w:before="0"/>
      </w:pPr>
      <w:r>
        <w:rPr>
          <w:color w:val="231F20"/>
        </w:rPr>
        <w:t>四、履约担保</w:t>
      </w:r>
    </w:p>
    <w:p>
      <w:pPr>
        <w:pStyle w:val="ListParagraph"/>
        <w:numPr>
          <w:ilvl w:val="0"/>
          <w:numId w:val="1"/>
        </w:numPr>
        <w:tabs>
          <w:tab w:pos="899" w:val="left" w:leader="none"/>
          <w:tab w:pos="900" w:val="left" w:leader="none"/>
        </w:tabs>
        <w:spacing w:line="240" w:lineRule="auto" w:before="229" w:after="0"/>
        <w:ind w:left="899" w:right="0" w:hanging="342"/>
        <w:jc w:val="left"/>
        <w:rPr>
          <w:rFonts w:ascii="方正黑体_GBK" w:eastAsia="方正黑体_GBK" w:hint="eastAsia"/>
          <w:sz w:val="22"/>
        </w:rPr>
      </w:pPr>
      <w:r>
        <w:rPr>
          <w:rFonts w:ascii="方正黑体_GBK" w:eastAsia="方正黑体_GBK" w:hint="eastAsia"/>
          <w:color w:val="231F20"/>
          <w:sz w:val="22"/>
        </w:rPr>
        <w:t>履约担保</w:t>
      </w:r>
    </w:p>
    <w:p>
      <w:pPr>
        <w:pStyle w:val="ListParagraph"/>
        <w:numPr>
          <w:ilvl w:val="1"/>
          <w:numId w:val="1"/>
        </w:numPr>
        <w:tabs>
          <w:tab w:pos="1049" w:val="left" w:leader="none"/>
          <w:tab w:pos="1050" w:val="left" w:leader="none"/>
        </w:tabs>
        <w:spacing w:line="240" w:lineRule="auto" w:before="102" w:after="0"/>
        <w:ind w:left="1049" w:right="0" w:hanging="492"/>
        <w:jc w:val="left"/>
        <w:rPr>
          <w:sz w:val="22"/>
        </w:rPr>
      </w:pPr>
      <w:r>
        <w:rPr>
          <w:color w:val="231F20"/>
          <w:sz w:val="22"/>
        </w:rPr>
        <w:t>履约担保证件</w:t>
      </w:r>
    </w:p>
    <w:p>
      <w:pPr>
        <w:pStyle w:val="BodyText"/>
        <w:spacing w:line="304" w:lineRule="auto"/>
        <w:ind w:right="112" w:firstLine="440"/>
        <w:jc w:val="both"/>
      </w:pPr>
      <w:r>
        <w:rPr>
          <w:color w:val="231F20"/>
        </w:rPr>
        <w:t>承包人应按合同规定的格式和专用合同条款规定的金额，在正式签订协议书前向发包人提交经发包人同意的银行或其他金融机构出具的履约保函或经发包人同意的具有担保资格的企业出具的履约担保书。</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履约担保证件的有效期</w:t>
      </w:r>
    </w:p>
    <w:p>
      <w:pPr>
        <w:pStyle w:val="BodyText"/>
        <w:spacing w:line="304" w:lineRule="auto"/>
        <w:ind w:firstLine="440"/>
      </w:pPr>
      <w:r>
        <w:rPr>
          <w:color w:val="231F20"/>
        </w:rPr>
        <w:t>承包人应保证履约保函或履约担保书在发包人颁发保修责任终止证书前一直有效。发包人应在保修责任终止证书颁发后 14 天内把上述证件退还给承包人。</w:t>
      </w:r>
    </w:p>
    <w:p>
      <w:pPr>
        <w:pStyle w:val="Heading2"/>
      </w:pPr>
      <w:r>
        <w:rPr>
          <w:color w:val="231F20"/>
        </w:rPr>
        <w:t>五、监理人和总监理工程师</w:t>
      </w:r>
    </w:p>
    <w:p>
      <w:pPr>
        <w:pStyle w:val="ListParagraph"/>
        <w:numPr>
          <w:ilvl w:val="0"/>
          <w:numId w:val="1"/>
        </w:numPr>
        <w:tabs>
          <w:tab w:pos="899" w:val="left" w:leader="none"/>
          <w:tab w:pos="900" w:val="left" w:leader="none"/>
        </w:tabs>
        <w:spacing w:line="240" w:lineRule="auto" w:before="229" w:after="0"/>
        <w:ind w:left="899" w:right="0" w:hanging="342"/>
        <w:jc w:val="left"/>
        <w:rPr>
          <w:rFonts w:ascii="方正黑体_GBK" w:eastAsia="方正黑体_GBK" w:hint="eastAsia"/>
          <w:sz w:val="22"/>
        </w:rPr>
      </w:pPr>
      <w:r>
        <w:rPr>
          <w:rFonts w:ascii="方正黑体_GBK" w:eastAsia="方正黑体_GBK" w:hint="eastAsia"/>
          <w:color w:val="231F20"/>
          <w:sz w:val="22"/>
        </w:rPr>
        <w:t>监理人和总监理工程师</w:t>
      </w:r>
    </w:p>
    <w:p>
      <w:pPr>
        <w:pStyle w:val="ListParagraph"/>
        <w:numPr>
          <w:ilvl w:val="1"/>
          <w:numId w:val="1"/>
        </w:numPr>
        <w:tabs>
          <w:tab w:pos="1049" w:val="left" w:leader="none"/>
          <w:tab w:pos="1050" w:val="left" w:leader="none"/>
        </w:tabs>
        <w:spacing w:line="240" w:lineRule="auto" w:before="102" w:after="0"/>
        <w:ind w:left="1049" w:right="0" w:hanging="492"/>
        <w:jc w:val="left"/>
        <w:rPr>
          <w:sz w:val="22"/>
        </w:rPr>
      </w:pPr>
      <w:r>
        <w:rPr>
          <w:color w:val="231F20"/>
          <w:sz w:val="22"/>
        </w:rPr>
        <w:t>监理人的职责和权力</w:t>
      </w:r>
    </w:p>
    <w:p>
      <w:pPr>
        <w:pStyle w:val="BodyText"/>
        <w:ind w:left="447"/>
      </w:pPr>
      <w:r>
        <w:rPr>
          <w:color w:val="231F20"/>
        </w:rPr>
        <w:t>（ 1）监理人应履行本合同规定的职责。</w:t>
      </w:r>
    </w:p>
    <w:p>
      <w:pPr>
        <w:pStyle w:val="BodyText"/>
        <w:spacing w:line="304" w:lineRule="auto"/>
        <w:ind w:right="114" w:firstLine="330"/>
        <w:jc w:val="both"/>
      </w:pPr>
      <w:r>
        <w:rPr>
          <w:color w:val="231F20"/>
        </w:rPr>
        <w:t>（ 2）监理人可以行使合同规定的和合同中隐含的权力，但若发包人要求监理人在行使某种权力之前必须得到发包人批准，则应在专用合同条款中予以规定，否则监理人行使这种权力应视为已得到发包人的事先批准。</w:t>
      </w:r>
    </w:p>
    <w:p>
      <w:pPr>
        <w:spacing w:after="0" w:line="304" w:lineRule="auto"/>
        <w:jc w:val="both"/>
        <w:sectPr>
          <w:pgSz w:w="11910" w:h="16840"/>
          <w:pgMar w:header="0" w:footer="832" w:top="1580" w:bottom="1020" w:left="1300" w:right="1300"/>
        </w:sectPr>
      </w:pPr>
    </w:p>
    <w:p>
      <w:pPr>
        <w:pStyle w:val="BodyText"/>
        <w:spacing w:line="304" w:lineRule="auto" w:before="24"/>
        <w:ind w:right="93" w:firstLine="330"/>
      </w:pPr>
      <w:r>
        <w:rPr>
          <w:color w:val="231F20"/>
        </w:rPr>
        <w:t>（ 3）除合同中另有规定外，监理人无权免除或变更合同中规定的承包人或发包人的义务、责任和权利。</w:t>
      </w:r>
    </w:p>
    <w:p>
      <w:pPr>
        <w:pStyle w:val="ListParagraph"/>
        <w:numPr>
          <w:ilvl w:val="1"/>
          <w:numId w:val="1"/>
        </w:numPr>
        <w:tabs>
          <w:tab w:pos="1049" w:val="left" w:leader="none"/>
          <w:tab w:pos="1050" w:val="left" w:leader="none"/>
        </w:tabs>
        <w:spacing w:line="240" w:lineRule="auto" w:before="21" w:after="0"/>
        <w:ind w:left="1049" w:right="0" w:hanging="492"/>
        <w:jc w:val="left"/>
        <w:rPr>
          <w:sz w:val="22"/>
        </w:rPr>
      </w:pPr>
      <w:r>
        <w:rPr>
          <w:color w:val="231F20"/>
          <w:sz w:val="22"/>
        </w:rPr>
        <w:t>总监理工程师</w:t>
      </w:r>
    </w:p>
    <w:p>
      <w:pPr>
        <w:pStyle w:val="BodyText"/>
        <w:spacing w:line="304" w:lineRule="auto"/>
        <w:ind w:right="214" w:firstLine="440"/>
        <w:jc w:val="both"/>
      </w:pPr>
      <w:r>
        <w:rPr>
          <w:color w:val="231F20"/>
        </w:rPr>
        <w:t>总监理工程师（以下简称总监）是监理人驻工地履行监理人职责的全权负责人。发包人应在开工通知发布前把总监的任命通知承包人，总监易人时应由发包人及时通知承包人。总监短期离开工地时应委派代表代行其职责，并通知承包人。</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监理人员</w:t>
      </w:r>
    </w:p>
    <w:p>
      <w:pPr>
        <w:pStyle w:val="BodyText"/>
        <w:spacing w:line="304" w:lineRule="auto" w:before="88"/>
        <w:ind w:right="93" w:firstLine="440"/>
      </w:pPr>
      <w:r>
        <w:rPr>
          <w:color w:val="231F20"/>
        </w:rPr>
        <w:t>总监可以指派监理人员负责实施监理中的某项工作，总监应将这些监理人员的姓名、职责和授权范围通知承包人。他们出于上述目的而发出的指示均视为已得到总监的同意。</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监理人的指示</w:t>
      </w:r>
    </w:p>
    <w:p>
      <w:pPr>
        <w:pStyle w:val="BodyText"/>
        <w:spacing w:line="304" w:lineRule="auto"/>
        <w:ind w:right="211" w:firstLine="330"/>
        <w:jc w:val="both"/>
      </w:pPr>
      <w:r>
        <w:rPr>
          <w:color w:val="231F20"/>
        </w:rPr>
        <w:t>（ 1）监理人的指示应盖有监理人授权的现场机构公章和总监或按上述第 7.3 款规定授权的监理人员签名。</w:t>
      </w:r>
    </w:p>
    <w:p>
      <w:pPr>
        <w:pStyle w:val="BodyText"/>
        <w:spacing w:line="304" w:lineRule="auto" w:before="21"/>
        <w:ind w:right="214" w:firstLine="330"/>
        <w:jc w:val="both"/>
      </w:pPr>
      <w:r>
        <w:rPr>
          <w:color w:val="231F20"/>
        </w:rPr>
        <w:t>（ 2）承包人收到监理人指示后应立即遵照执行。若承包人对监理人的指示持异议时，仍应遵照执行，但可向监理人提出书面意见。监理人研究后可作出修改指示或继续执行原指示的决定，并通知承包人。若监理人决定继续执行原指示，承包人仍应遵照执行，但承包人有权按第</w:t>
      </w:r>
    </w:p>
    <w:p>
      <w:pPr>
        <w:pStyle w:val="BodyText"/>
        <w:spacing w:before="21"/>
      </w:pPr>
      <w:r>
        <w:rPr>
          <w:color w:val="231F20"/>
        </w:rPr>
        <w:t>44.1 款的规定提出按合同争议处理的要求。</w:t>
      </w:r>
    </w:p>
    <w:p>
      <w:pPr>
        <w:pStyle w:val="BodyText"/>
        <w:spacing w:line="304" w:lineRule="auto"/>
        <w:ind w:right="215" w:firstLine="330"/>
        <w:jc w:val="both"/>
      </w:pPr>
      <w:r>
        <w:rPr>
          <w:color w:val="231F20"/>
        </w:rPr>
        <w:t>（ 3）在紧急情况下，监理人员可以当场签发临时书面指示，但监理人应在发出临时书面指示后 48 小时内补发正式书面指示，如监理人未在 48 小时内及时补发，则承包人可提出书面确认函，声明已视临时书面指示为正式指示。</w:t>
      </w:r>
    </w:p>
    <w:p>
      <w:pPr>
        <w:pStyle w:val="BodyText"/>
        <w:spacing w:before="20"/>
        <w:ind w:left="447"/>
      </w:pPr>
      <w:r>
        <w:rPr>
          <w:color w:val="231F20"/>
        </w:rPr>
        <w:t>（ 4）除合同另有规定外，承包人只从总监或上述第 7.3 款规定的监理人员处取得指示。</w:t>
      </w:r>
    </w:p>
    <w:p>
      <w:pPr>
        <w:pStyle w:val="BodyText"/>
        <w:tabs>
          <w:tab w:pos="1049" w:val="left" w:leader="none"/>
        </w:tabs>
        <w:spacing w:before="88"/>
        <w:ind w:left="557"/>
      </w:pPr>
      <w:r>
        <w:rPr>
          <w:color w:val="231F20"/>
        </w:rPr>
        <w:t>7.5</w:t>
        <w:tab/>
        <w:t>监理人应公正地履行职责</w:t>
      </w:r>
    </w:p>
    <w:p>
      <w:pPr>
        <w:pStyle w:val="BodyText"/>
        <w:spacing w:line="304" w:lineRule="auto" w:before="88"/>
        <w:ind w:right="212" w:firstLine="440"/>
        <w:jc w:val="both"/>
      </w:pPr>
      <w:r>
        <w:rPr>
          <w:color w:val="231F20"/>
        </w:rPr>
        <w:t>监理人应公正地履行职责，在按合同要求由监理人发出指示、表示意见、审批文件、确定价格以及采取可能涉及发包人或承包人的义务和权利的行动时，应认真查清事实，并与双方充分协商后作出公正的决定。</w:t>
      </w:r>
    </w:p>
    <w:p>
      <w:pPr>
        <w:pStyle w:val="Heading2"/>
      </w:pPr>
      <w:r>
        <w:rPr>
          <w:color w:val="231F20"/>
        </w:rPr>
        <w:t>六、联络</w:t>
      </w:r>
    </w:p>
    <w:p>
      <w:pPr>
        <w:pStyle w:val="ListParagraph"/>
        <w:numPr>
          <w:ilvl w:val="0"/>
          <w:numId w:val="1"/>
        </w:numPr>
        <w:tabs>
          <w:tab w:pos="899" w:val="left" w:leader="none"/>
          <w:tab w:pos="900" w:val="left" w:leader="none"/>
        </w:tabs>
        <w:spacing w:line="240" w:lineRule="auto" w:before="229" w:after="0"/>
        <w:ind w:left="899" w:right="0" w:hanging="342"/>
        <w:jc w:val="left"/>
        <w:rPr>
          <w:rFonts w:ascii="方正黑体_GBK" w:eastAsia="方正黑体_GBK" w:hint="eastAsia"/>
          <w:sz w:val="22"/>
        </w:rPr>
      </w:pPr>
      <w:r>
        <w:rPr>
          <w:rFonts w:ascii="方正黑体_GBK" w:eastAsia="方正黑体_GBK" w:hint="eastAsia"/>
          <w:color w:val="231F20"/>
          <w:sz w:val="22"/>
        </w:rPr>
        <w:t>联络</w:t>
      </w:r>
    </w:p>
    <w:p>
      <w:pPr>
        <w:pStyle w:val="ListParagraph"/>
        <w:numPr>
          <w:ilvl w:val="1"/>
          <w:numId w:val="1"/>
        </w:numPr>
        <w:tabs>
          <w:tab w:pos="1049" w:val="left" w:leader="none"/>
          <w:tab w:pos="1050" w:val="left" w:leader="none"/>
        </w:tabs>
        <w:spacing w:line="240" w:lineRule="auto" w:before="101" w:after="0"/>
        <w:ind w:left="1049" w:right="0" w:hanging="492"/>
        <w:jc w:val="left"/>
        <w:rPr>
          <w:sz w:val="22"/>
        </w:rPr>
      </w:pPr>
      <w:r>
        <w:rPr>
          <w:color w:val="231F20"/>
          <w:sz w:val="22"/>
        </w:rPr>
        <w:t>联络以书面形式为准</w:t>
      </w:r>
    </w:p>
    <w:p>
      <w:pPr>
        <w:pStyle w:val="BodyText"/>
        <w:spacing w:line="304" w:lineRule="auto" w:before="88"/>
        <w:ind w:right="93" w:firstLine="440"/>
      </w:pPr>
      <w:r>
        <w:rPr>
          <w:color w:val="231F20"/>
        </w:rPr>
        <w:t>合同中述及的由任何人提出或给出的与合同有关的通知、指示、要求、请求、同意、意见、确认、批准、证书、证明和决定等是双方联络和履行合同的凭证，均应以书面形式为准， 并应送达双方约定的地点和办理签收手续。</w:t>
      </w:r>
    </w:p>
    <w:p>
      <w:pPr>
        <w:pStyle w:val="ListParagraph"/>
        <w:numPr>
          <w:ilvl w:val="1"/>
          <w:numId w:val="1"/>
        </w:numPr>
        <w:tabs>
          <w:tab w:pos="1049" w:val="left" w:leader="none"/>
          <w:tab w:pos="1050" w:val="left" w:leader="none"/>
        </w:tabs>
        <w:spacing w:line="240" w:lineRule="auto" w:before="20" w:after="0"/>
        <w:ind w:left="1049" w:right="0" w:hanging="492"/>
        <w:jc w:val="left"/>
        <w:rPr>
          <w:sz w:val="22"/>
        </w:rPr>
      </w:pPr>
      <w:r>
        <w:rPr>
          <w:color w:val="231F20"/>
          <w:sz w:val="22"/>
        </w:rPr>
        <w:t>来往函件的发出和答复</w:t>
      </w:r>
    </w:p>
    <w:p>
      <w:pPr>
        <w:pStyle w:val="BodyText"/>
        <w:ind w:left="557"/>
      </w:pPr>
      <w:r>
        <w:rPr>
          <w:color w:val="231F20"/>
        </w:rPr>
        <w:t>上述第 8.1 款中的通知、指示、要求、请求、同意、意见、确认、批准、证书、证明和决</w:t>
      </w:r>
    </w:p>
    <w:p>
      <w:pPr>
        <w:spacing w:after="0"/>
        <w:sectPr>
          <w:pgSz w:w="11910" w:h="16840"/>
          <w:pgMar w:header="0" w:footer="832" w:top="1580" w:bottom="1020" w:left="1300" w:right="1200"/>
        </w:sectPr>
      </w:pPr>
    </w:p>
    <w:p>
      <w:pPr>
        <w:pStyle w:val="BodyText"/>
        <w:spacing w:line="304" w:lineRule="auto" w:before="24"/>
        <w:ind w:left="217" w:right="201"/>
      </w:pPr>
      <w:r>
        <w:rPr>
          <w:color w:val="231F20"/>
        </w:rPr>
        <w:t>定等来往函件均应按合同规定的期限及时发出和答复，不得无故扣压和拖延，亦不得无故拒收，否则由责任方对由此造成的后果负责。</w:t>
      </w:r>
    </w:p>
    <w:p>
      <w:pPr>
        <w:pStyle w:val="Heading2"/>
        <w:ind w:left="657"/>
      </w:pPr>
      <w:r>
        <w:rPr>
          <w:color w:val="231F20"/>
        </w:rPr>
        <w:t>七、图纸</w:t>
      </w:r>
    </w:p>
    <w:p>
      <w:pPr>
        <w:pStyle w:val="ListParagraph"/>
        <w:numPr>
          <w:ilvl w:val="0"/>
          <w:numId w:val="1"/>
        </w:numPr>
        <w:tabs>
          <w:tab w:pos="999" w:val="left" w:leader="none"/>
          <w:tab w:pos="1000" w:val="left" w:leader="none"/>
        </w:tabs>
        <w:spacing w:line="240" w:lineRule="auto" w:before="229" w:after="0"/>
        <w:ind w:left="999" w:right="0" w:hanging="342"/>
        <w:jc w:val="left"/>
        <w:rPr>
          <w:rFonts w:ascii="方正黑体_GBK" w:eastAsia="方正黑体_GBK" w:hint="eastAsia"/>
          <w:sz w:val="22"/>
        </w:rPr>
      </w:pPr>
      <w:r>
        <w:rPr>
          <w:rFonts w:ascii="方正黑体_GBK" w:eastAsia="方正黑体_GBK" w:hint="eastAsia"/>
          <w:color w:val="231F20"/>
          <w:sz w:val="22"/>
        </w:rPr>
        <w:t>图纸</w:t>
      </w:r>
    </w:p>
    <w:p>
      <w:pPr>
        <w:pStyle w:val="ListParagraph"/>
        <w:numPr>
          <w:ilvl w:val="1"/>
          <w:numId w:val="1"/>
        </w:numPr>
        <w:tabs>
          <w:tab w:pos="1149" w:val="left" w:leader="none"/>
          <w:tab w:pos="1150" w:val="left" w:leader="none"/>
        </w:tabs>
        <w:spacing w:line="240" w:lineRule="auto" w:before="102" w:after="0"/>
        <w:ind w:left="1149" w:right="0" w:hanging="492"/>
        <w:jc w:val="left"/>
        <w:rPr>
          <w:sz w:val="22"/>
        </w:rPr>
      </w:pPr>
      <w:r>
        <w:rPr>
          <w:color w:val="231F20"/>
          <w:sz w:val="22"/>
        </w:rPr>
        <w:t>招标图纸和投标图纸</w:t>
      </w:r>
    </w:p>
    <w:p>
      <w:pPr>
        <w:pStyle w:val="BodyText"/>
        <w:spacing w:line="297" w:lineRule="auto" w:before="79"/>
        <w:ind w:left="217" w:right="199" w:firstLine="330"/>
      </w:pPr>
      <w:r>
        <w:rPr>
          <w:color w:val="231F20"/>
        </w:rPr>
        <w:t>（ 1）列入合同的招标图纸仅作为承包人投标报价和在履行合同过程中衡量变更的依据，不能直接用于施工。</w:t>
      </w:r>
    </w:p>
    <w:p>
      <w:pPr>
        <w:pStyle w:val="BodyText"/>
        <w:spacing w:line="297" w:lineRule="auto" w:before="18"/>
        <w:ind w:left="217" w:right="199" w:firstLine="330"/>
      </w:pPr>
      <w:r>
        <w:rPr>
          <w:color w:val="231F20"/>
        </w:rPr>
        <w:t>（ 2）列入合同的投标图纸仅作为发包人选择中标人和在履行合同过程中检验承包人是否按其投标内容进行施工的依据，亦不能直接用于施工。</w:t>
      </w:r>
    </w:p>
    <w:p>
      <w:pPr>
        <w:pStyle w:val="ListParagraph"/>
        <w:numPr>
          <w:ilvl w:val="1"/>
          <w:numId w:val="1"/>
        </w:numPr>
        <w:tabs>
          <w:tab w:pos="1149" w:val="left" w:leader="none"/>
          <w:tab w:pos="1150" w:val="left" w:leader="none"/>
        </w:tabs>
        <w:spacing w:line="240" w:lineRule="auto" w:before="18" w:after="0"/>
        <w:ind w:left="1149" w:right="0" w:hanging="492"/>
        <w:jc w:val="left"/>
        <w:rPr>
          <w:sz w:val="22"/>
        </w:rPr>
      </w:pPr>
      <w:r>
        <w:rPr>
          <w:color w:val="231F20"/>
          <w:sz w:val="22"/>
        </w:rPr>
        <w:t>施工图纸</w:t>
      </w:r>
    </w:p>
    <w:p>
      <w:pPr>
        <w:pStyle w:val="BodyText"/>
        <w:spacing w:line="297" w:lineRule="auto" w:before="79"/>
        <w:ind w:left="217" w:right="199" w:firstLine="330"/>
      </w:pPr>
      <w:r>
        <w:rPr>
          <w:color w:val="231F20"/>
        </w:rPr>
        <w:t>（ 1）按合同规定由发包人委托监理人提供给承包人的施工图纸，包括工程建筑物的结构图、体形图和配筋图以及合同规定由发包人负责的细部设计图、浇筑图和加工图等，均应按</w:t>
      </w:r>
    </w:p>
    <w:p>
      <w:pPr>
        <w:pStyle w:val="BodyText"/>
        <w:spacing w:line="297" w:lineRule="auto" w:before="18"/>
        <w:ind w:left="217" w:right="201" w:hanging="110"/>
      </w:pPr>
      <w:r>
        <w:rPr>
          <w:color w:val="231F20"/>
          <w:spacing w:val="1"/>
        </w:rPr>
        <w:t>《技术条款》中规定的期限和数量提交给承包人。由于发包人未能按时提交施工图纸而造成的</w:t>
      </w:r>
      <w:r>
        <w:rPr>
          <w:color w:val="231F20"/>
          <w:spacing w:val="-1"/>
        </w:rPr>
        <w:t>工期延误，应按第 </w:t>
      </w:r>
      <w:r>
        <w:rPr>
          <w:color w:val="231F20"/>
        </w:rPr>
        <w:t>42</w:t>
      </w:r>
      <w:r>
        <w:rPr>
          <w:color w:val="231F20"/>
          <w:spacing w:val="-7"/>
        </w:rPr>
        <w:t> 条的有关规定办理；施工图纸中涉及变更的应按第 </w:t>
      </w:r>
      <w:r>
        <w:rPr>
          <w:color w:val="231F20"/>
        </w:rPr>
        <w:t>39</w:t>
      </w:r>
      <w:r>
        <w:rPr>
          <w:color w:val="231F20"/>
          <w:spacing w:val="-1"/>
        </w:rPr>
        <w:t> 条的有关规定办理。</w:t>
      </w:r>
    </w:p>
    <w:p>
      <w:pPr>
        <w:pStyle w:val="BodyText"/>
        <w:spacing w:line="297" w:lineRule="auto" w:before="18"/>
        <w:ind w:left="217" w:right="199" w:firstLine="330"/>
      </w:pPr>
      <w:r>
        <w:rPr>
          <w:color w:val="231F20"/>
        </w:rPr>
        <w:t>（ 2）按合同规定由承包人自行负责的施工图纸，包括部分工程建筑物的结构图、体形图和配筋图，以及承包人按发包人施工图纸绘制的细部设计图、浇筑图和车间加工图等，均应按</w:t>
      </w:r>
    </w:p>
    <w:p>
      <w:pPr>
        <w:pStyle w:val="BodyText"/>
        <w:spacing w:line="297" w:lineRule="auto" w:before="18"/>
        <w:ind w:left="217" w:right="209" w:hanging="110"/>
        <w:jc w:val="both"/>
      </w:pPr>
      <w:r>
        <w:rPr>
          <w:color w:val="231F20"/>
        </w:rPr>
        <w:t>《技术条款》中规定的期限报送监理人审批。监理人应在《技术条款》规定的期限内批复承包人。承包人应对其未能按时向监理人提交施工图纸而造成的工期延误负责；若监理人未在规定的期限内批复承包人，则应视为监理人已同意按上述图纸进行施工。监理人的批复不免除承包人对其提交的施工图纸应负的责任。</w:t>
      </w:r>
    </w:p>
    <w:p>
      <w:pPr>
        <w:pStyle w:val="ListParagraph"/>
        <w:numPr>
          <w:ilvl w:val="1"/>
          <w:numId w:val="1"/>
        </w:numPr>
        <w:tabs>
          <w:tab w:pos="1149" w:val="left" w:leader="none"/>
          <w:tab w:pos="1150" w:val="left" w:leader="none"/>
        </w:tabs>
        <w:spacing w:line="240" w:lineRule="auto" w:before="18" w:after="0"/>
        <w:ind w:left="1149" w:right="0" w:hanging="492"/>
        <w:jc w:val="left"/>
        <w:rPr>
          <w:sz w:val="22"/>
        </w:rPr>
      </w:pPr>
      <w:r>
        <w:rPr>
          <w:color w:val="231F20"/>
          <w:sz w:val="22"/>
        </w:rPr>
        <w:t>施工图纸的修改</w:t>
      </w:r>
    </w:p>
    <w:p>
      <w:pPr>
        <w:pStyle w:val="BodyText"/>
        <w:spacing w:line="297" w:lineRule="auto" w:before="79"/>
        <w:ind w:left="217" w:right="222" w:firstLine="440"/>
        <w:jc w:val="both"/>
      </w:pPr>
      <w:r>
        <w:rPr>
          <w:color w:val="231F20"/>
          <w:spacing w:val="-5"/>
        </w:rPr>
        <w:t>发包人委托监理人提交给承包人的施工图纸需要修改和补充时，应由监理人在该工程（或工程相应部位）施工前签发施工图纸的修改图给承包人，具体期限应视修改内容由双方商定，承包人应按修改后的施工图纸进行施工。施工图纸的修改涉及变更时应按第 </w:t>
      </w:r>
      <w:r>
        <w:rPr>
          <w:color w:val="231F20"/>
          <w:spacing w:val="-3"/>
        </w:rPr>
        <w:t>39</w:t>
      </w:r>
      <w:r>
        <w:rPr>
          <w:color w:val="231F20"/>
          <w:spacing w:val="-5"/>
        </w:rPr>
        <w:t> 条的有关规定办理。</w:t>
      </w:r>
    </w:p>
    <w:p>
      <w:pPr>
        <w:pStyle w:val="ListParagraph"/>
        <w:numPr>
          <w:ilvl w:val="1"/>
          <w:numId w:val="1"/>
        </w:numPr>
        <w:tabs>
          <w:tab w:pos="1149" w:val="left" w:leader="none"/>
          <w:tab w:pos="1150" w:val="left" w:leader="none"/>
        </w:tabs>
        <w:spacing w:line="240" w:lineRule="auto" w:before="18" w:after="0"/>
        <w:ind w:left="1149" w:right="0" w:hanging="492"/>
        <w:jc w:val="left"/>
        <w:rPr>
          <w:sz w:val="22"/>
        </w:rPr>
      </w:pPr>
      <w:r>
        <w:rPr>
          <w:color w:val="231F20"/>
          <w:sz w:val="22"/>
        </w:rPr>
        <w:t>图纸的保管</w:t>
      </w:r>
    </w:p>
    <w:p>
      <w:pPr>
        <w:pStyle w:val="BodyText"/>
        <w:spacing w:before="79"/>
        <w:ind w:left="657"/>
      </w:pPr>
      <w:r>
        <w:rPr>
          <w:color w:val="231F20"/>
        </w:rPr>
        <w:t>监理人和承包人均应按第 1.2 款（ 3）项所包含的内容，在工地各保存一套完整的图纸。</w:t>
      </w:r>
    </w:p>
    <w:p>
      <w:pPr>
        <w:pStyle w:val="ListParagraph"/>
        <w:numPr>
          <w:ilvl w:val="1"/>
          <w:numId w:val="1"/>
        </w:numPr>
        <w:tabs>
          <w:tab w:pos="1149" w:val="left" w:leader="none"/>
          <w:tab w:pos="1150" w:val="left" w:leader="none"/>
        </w:tabs>
        <w:spacing w:line="240" w:lineRule="auto" w:before="79" w:after="0"/>
        <w:ind w:left="1149" w:right="0" w:hanging="492"/>
        <w:jc w:val="left"/>
        <w:rPr>
          <w:sz w:val="22"/>
        </w:rPr>
      </w:pPr>
      <w:r>
        <w:rPr>
          <w:color w:val="231F20"/>
          <w:sz w:val="22"/>
        </w:rPr>
        <w:t>图纸的保密</w:t>
      </w:r>
    </w:p>
    <w:p>
      <w:pPr>
        <w:pStyle w:val="BodyText"/>
        <w:spacing w:line="297" w:lineRule="auto" w:before="79"/>
        <w:ind w:left="217" w:right="201" w:firstLine="440"/>
      </w:pPr>
      <w:r>
        <w:rPr>
          <w:color w:val="231F20"/>
        </w:rPr>
        <w:t>未经对方许可，按合同规定由发包人和承包人相互提供的图纸不得泄露给与本合同无关的第三方，违者应对泄密造成的后果承担责任。</w:t>
      </w:r>
    </w:p>
    <w:p>
      <w:pPr>
        <w:pStyle w:val="Heading2"/>
        <w:spacing w:before="169"/>
        <w:ind w:left="657"/>
      </w:pPr>
      <w:r>
        <w:rPr>
          <w:color w:val="231F20"/>
        </w:rPr>
        <w:t>八、转让和分包</w:t>
      </w:r>
    </w:p>
    <w:p>
      <w:pPr>
        <w:pStyle w:val="ListParagraph"/>
        <w:numPr>
          <w:ilvl w:val="0"/>
          <w:numId w:val="1"/>
        </w:numPr>
        <w:tabs>
          <w:tab w:pos="1121" w:val="left" w:leader="none"/>
          <w:tab w:pos="1122" w:val="left" w:leader="none"/>
        </w:tabs>
        <w:spacing w:line="240" w:lineRule="auto" w:before="229" w:after="0"/>
        <w:ind w:left="1121" w:right="0" w:hanging="464"/>
        <w:jc w:val="left"/>
        <w:rPr>
          <w:rFonts w:ascii="方正黑体_GBK" w:eastAsia="方正黑体_GBK" w:hint="eastAsia"/>
          <w:sz w:val="22"/>
        </w:rPr>
      </w:pPr>
      <w:r>
        <w:rPr>
          <w:rFonts w:ascii="方正黑体_GBK" w:eastAsia="方正黑体_GBK" w:hint="eastAsia"/>
          <w:color w:val="231F20"/>
          <w:sz w:val="22"/>
        </w:rPr>
        <w:t>转让</w:t>
      </w:r>
    </w:p>
    <w:p>
      <w:pPr>
        <w:pStyle w:val="BodyText"/>
        <w:spacing w:before="102"/>
        <w:ind w:left="657"/>
      </w:pPr>
      <w:r>
        <w:rPr>
          <w:color w:val="231F20"/>
        </w:rPr>
        <w:t>承包人不得将其承包的全部工程转包给第三人。未经发包人同意，承包人不得转移合同中</w:t>
      </w:r>
    </w:p>
    <w:p>
      <w:pPr>
        <w:spacing w:after="0"/>
        <w:sectPr>
          <w:pgSz w:w="11910" w:h="16840"/>
          <w:pgMar w:header="0" w:footer="832" w:top="1580" w:bottom="1020" w:left="1200" w:right="1200"/>
        </w:sectPr>
      </w:pPr>
    </w:p>
    <w:p>
      <w:pPr>
        <w:pStyle w:val="BodyText"/>
        <w:spacing w:before="24"/>
      </w:pPr>
      <w:r>
        <w:rPr>
          <w:color w:val="231F20"/>
        </w:rPr>
        <w:t>的全部或部分义务，也不得转让合同中的全部或部分权利，下述情况除外：</w:t>
      </w:r>
    </w:p>
    <w:p>
      <w:pPr>
        <w:pStyle w:val="BodyText"/>
        <w:ind w:left="447"/>
      </w:pPr>
      <w:r>
        <w:rPr>
          <w:color w:val="231F20"/>
        </w:rPr>
        <w:t>（ 1）承包人的开户银行代替承包人收取合同规定的款额。</w:t>
      </w:r>
    </w:p>
    <w:p>
      <w:pPr>
        <w:pStyle w:val="BodyText"/>
        <w:spacing w:line="304" w:lineRule="auto"/>
        <w:ind w:right="199" w:firstLine="330"/>
      </w:pPr>
      <w:r>
        <w:rPr>
          <w:color w:val="231F20"/>
        </w:rPr>
        <w:t>（ 2）在保险人已清偿了承包人的损失或免除了承包人的责任的情况下，承包人将其从任何其他责任方处获得补偿的权利转让给承包人的保险人。</w:t>
      </w:r>
    </w:p>
    <w:p>
      <w:pPr>
        <w:pStyle w:val="ListParagraph"/>
        <w:numPr>
          <w:ilvl w:val="0"/>
          <w:numId w:val="1"/>
        </w:numPr>
        <w:tabs>
          <w:tab w:pos="1021" w:val="left" w:leader="none"/>
          <w:tab w:pos="1022" w:val="left" w:leader="none"/>
        </w:tabs>
        <w:spacing w:line="240" w:lineRule="auto" w:before="15" w:after="0"/>
        <w:ind w:left="1021" w:right="0" w:hanging="464"/>
        <w:jc w:val="left"/>
        <w:rPr>
          <w:rFonts w:ascii="方正黑体_GBK" w:eastAsia="方正黑体_GBK" w:hint="eastAsia"/>
          <w:sz w:val="22"/>
        </w:rPr>
      </w:pPr>
      <w:r>
        <w:rPr>
          <w:rFonts w:ascii="方正黑体_GBK" w:eastAsia="方正黑体_GBK" w:hint="eastAsia"/>
          <w:color w:val="231F20"/>
          <w:sz w:val="22"/>
        </w:rPr>
        <w:t>分包</w:t>
      </w:r>
    </w:p>
    <w:p>
      <w:pPr>
        <w:pStyle w:val="ListParagraph"/>
        <w:numPr>
          <w:ilvl w:val="1"/>
          <w:numId w:val="1"/>
        </w:numPr>
        <w:tabs>
          <w:tab w:pos="1158" w:val="left" w:leader="none"/>
          <w:tab w:pos="1159" w:val="left" w:leader="none"/>
        </w:tabs>
        <w:spacing w:line="240" w:lineRule="auto" w:before="102" w:after="0"/>
        <w:ind w:left="1158" w:right="0" w:hanging="601"/>
        <w:jc w:val="left"/>
        <w:rPr>
          <w:sz w:val="22"/>
        </w:rPr>
      </w:pPr>
      <w:r>
        <w:rPr>
          <w:color w:val="231F20"/>
          <w:sz w:val="22"/>
        </w:rPr>
        <w:t>工程分包应经批准</w:t>
      </w:r>
    </w:p>
    <w:p>
      <w:pPr>
        <w:pStyle w:val="BodyText"/>
        <w:spacing w:line="304" w:lineRule="auto"/>
        <w:ind w:right="93" w:firstLine="440"/>
      </w:pPr>
      <w:r>
        <w:rPr>
          <w:color w:val="231F20"/>
        </w:rPr>
        <w:t>承包人不得将其承包的工程肢解后分包出去。主体工程不允许分包。除合同另有规定外， 未经监理人同意，承包人不得把工程的任何部分分包出去。经监理人同意的分包工程不允许分包人再分包出去。承包人应对其分包出去的工程以及分包人的任何工作和行为负全部责任。即使是监理人同意的部分分包工作，亦不能免除承包人按合同规定应负的责任。分包人应就其完成的工作成果向发包人承担连带责任。监理人认为有必要时，承包人应向监理人提交分包合同副本。除合同另有规定外，下列事项不要求承包人征得监理人同意。</w:t>
      </w:r>
    </w:p>
    <w:p>
      <w:pPr>
        <w:pStyle w:val="BodyText"/>
        <w:spacing w:before="21"/>
        <w:ind w:left="447"/>
      </w:pPr>
      <w:r>
        <w:rPr>
          <w:color w:val="231F20"/>
        </w:rPr>
        <w:t>（ 1）按第 12.1 款的规定提供劳务。</w:t>
      </w:r>
    </w:p>
    <w:p>
      <w:pPr>
        <w:pStyle w:val="BodyText"/>
        <w:ind w:left="447"/>
      </w:pPr>
      <w:r>
        <w:rPr>
          <w:color w:val="231F20"/>
        </w:rPr>
        <w:t>（ 2）采购符合合同规定标准的材料。</w:t>
      </w:r>
    </w:p>
    <w:p>
      <w:pPr>
        <w:pStyle w:val="BodyText"/>
        <w:ind w:left="447"/>
      </w:pPr>
      <w:r>
        <w:rPr>
          <w:color w:val="231F20"/>
        </w:rPr>
        <w:t>（ 3）合同中已明确了分包人的工程分包。</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发包人指定分包人</w:t>
      </w:r>
    </w:p>
    <w:p>
      <w:pPr>
        <w:pStyle w:val="BodyText"/>
        <w:spacing w:line="304" w:lineRule="auto"/>
        <w:ind w:right="213" w:firstLine="330"/>
        <w:jc w:val="both"/>
      </w:pPr>
      <w:r>
        <w:rPr>
          <w:color w:val="231F20"/>
        </w:rPr>
        <w:t>（ 1）发包人根据工程特殊情况欲指定分包人时，应在专用合同条款中写明分包工作内容和指定分包人的资质情况。承包人可自行决定同意或拒绝发包人指定的分包人。若承包人在投标时接受了发包人指定的分包人，则该指定分包人应与承包人的其他分包人一样被视为承包人雇用的分包人，由承包人与其签订分包合同，并对其工作和行为负全部责任。</w:t>
      </w:r>
    </w:p>
    <w:p>
      <w:pPr>
        <w:pStyle w:val="BodyText"/>
        <w:spacing w:line="304" w:lineRule="auto" w:before="21"/>
        <w:ind w:right="209" w:firstLine="330"/>
        <w:jc w:val="both"/>
      </w:pPr>
      <w:r>
        <w:rPr>
          <w:color w:val="231F20"/>
        </w:rPr>
        <w:t>（ 2）在合同实施过程中，若发包人需要指定分包人时，应征得承包人的同意，此时发包人应负责协调承包人与分包人之间签订分包合同。发包人应保证承包人不因此项分包而增加额外</w:t>
      </w:r>
      <w:r>
        <w:rPr>
          <w:color w:val="231F20"/>
          <w:spacing w:val="-7"/>
        </w:rPr>
        <w:t>费用；承包人则应负责该分包工作的管理和协调，并向指定分包人计取管理费；指定分包人应</w:t>
      </w:r>
      <w:r>
        <w:rPr>
          <w:color w:val="231F20"/>
        </w:rPr>
        <w:t>接受承包人的统一安排和监督。由于指定分包人造成的与其分包工作有关而又属承包人的安排和监督责任所无法控制的索赔、诉讼和损失赔偿均应由指定分包人直接对发包人负责，发包人也应直接向指定分包人追索，承包人不对此承担责任。</w:t>
      </w:r>
    </w:p>
    <w:p>
      <w:pPr>
        <w:pStyle w:val="Heading2"/>
      </w:pPr>
      <w:r>
        <w:rPr>
          <w:color w:val="231F20"/>
        </w:rPr>
        <w:t>九、承包人的人员及其管理</w:t>
      </w:r>
    </w:p>
    <w:p>
      <w:pPr>
        <w:pStyle w:val="ListParagraph"/>
        <w:numPr>
          <w:ilvl w:val="0"/>
          <w:numId w:val="1"/>
        </w:numPr>
        <w:tabs>
          <w:tab w:pos="1021" w:val="left" w:leader="none"/>
          <w:tab w:pos="1022" w:val="left" w:leader="none"/>
        </w:tabs>
        <w:spacing w:line="240" w:lineRule="auto" w:before="229" w:after="0"/>
        <w:ind w:left="1021" w:right="0" w:hanging="464"/>
        <w:jc w:val="left"/>
        <w:rPr>
          <w:rFonts w:ascii="方正黑体_GBK" w:eastAsia="方正黑体_GBK" w:hint="eastAsia"/>
          <w:sz w:val="22"/>
        </w:rPr>
      </w:pPr>
      <w:r>
        <w:rPr>
          <w:rFonts w:ascii="方正黑体_GBK" w:eastAsia="方正黑体_GBK" w:hint="eastAsia"/>
          <w:color w:val="231F20"/>
          <w:sz w:val="22"/>
        </w:rPr>
        <w:t>承包人的人员</w:t>
      </w:r>
    </w:p>
    <w:p>
      <w:pPr>
        <w:pStyle w:val="ListParagraph"/>
        <w:numPr>
          <w:ilvl w:val="1"/>
          <w:numId w:val="1"/>
        </w:numPr>
        <w:tabs>
          <w:tab w:pos="1158" w:val="left" w:leader="none"/>
          <w:tab w:pos="1159" w:val="left" w:leader="none"/>
        </w:tabs>
        <w:spacing w:line="240" w:lineRule="auto" w:before="102" w:after="0"/>
        <w:ind w:left="1158" w:right="0" w:hanging="601"/>
        <w:jc w:val="left"/>
        <w:rPr>
          <w:sz w:val="22"/>
        </w:rPr>
      </w:pPr>
      <w:r>
        <w:rPr>
          <w:color w:val="231F20"/>
          <w:sz w:val="22"/>
        </w:rPr>
        <w:t>承包人的职员和工人</w:t>
      </w:r>
    </w:p>
    <w:p>
      <w:pPr>
        <w:pStyle w:val="BodyText"/>
        <w:ind w:left="557"/>
      </w:pPr>
      <w:r>
        <w:rPr>
          <w:color w:val="231F20"/>
        </w:rPr>
        <w:t>承包人应为完成合同规定的各项工作向工地派遣或雇用技术合格和数量足够的下述人员：</w:t>
      </w:r>
    </w:p>
    <w:p>
      <w:pPr>
        <w:pStyle w:val="BodyText"/>
        <w:ind w:left="447"/>
      </w:pPr>
      <w:r>
        <w:rPr>
          <w:color w:val="231F20"/>
        </w:rPr>
        <w:t>（ 1）具有合格证明的各类专业技工和普工。</w:t>
      </w:r>
    </w:p>
    <w:p>
      <w:pPr>
        <w:pStyle w:val="BodyText"/>
        <w:ind w:left="447"/>
      </w:pPr>
      <w:r>
        <w:rPr>
          <w:color w:val="231F20"/>
        </w:rPr>
        <w:t>（ 2）具有相应技术理论知识和施工经验的各类专业技术人员及有能力进行现场施工管理和</w:t>
      </w:r>
    </w:p>
    <w:p>
      <w:pPr>
        <w:spacing w:after="0"/>
        <w:sectPr>
          <w:pgSz w:w="11910" w:h="16840"/>
          <w:pgMar w:header="0" w:footer="832" w:top="1580" w:bottom="1020" w:left="1300" w:right="1200"/>
        </w:sectPr>
      </w:pPr>
    </w:p>
    <w:p>
      <w:pPr>
        <w:pStyle w:val="BodyText"/>
        <w:spacing w:before="24"/>
      </w:pPr>
      <w:r>
        <w:rPr>
          <w:color w:val="231F20"/>
        </w:rPr>
        <w:t>指导施工作业的工长。</w:t>
      </w:r>
    </w:p>
    <w:p>
      <w:pPr>
        <w:pStyle w:val="BodyText"/>
        <w:ind w:left="447"/>
      </w:pPr>
      <w:r>
        <w:rPr>
          <w:color w:val="231F20"/>
        </w:rPr>
        <w:t>（ 3）具有相应岗位资格的管理人员。</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承包人项目经理</w:t>
      </w:r>
    </w:p>
    <w:p>
      <w:pPr>
        <w:pStyle w:val="BodyText"/>
        <w:spacing w:line="304" w:lineRule="auto"/>
        <w:ind w:right="105" w:firstLine="330"/>
        <w:jc w:val="both"/>
      </w:pPr>
      <w:r>
        <w:rPr>
          <w:color w:val="231F20"/>
        </w:rPr>
        <w:t>（ 1）承包人项目经理是承包人驻工地的全权负责人，按合同规定的承包人义务、责任和权利履行其职责。承包人项目经理应按本合同的规定和监理人的指示负责组织本工程的圆满实施。在情况紧急且无法与监理人联系时，可采取保证工程和人员生命财产安全的紧急措施，并在决定采取措施后 24 小时内向监理人提交报告。</w:t>
      </w:r>
    </w:p>
    <w:p>
      <w:pPr>
        <w:pStyle w:val="BodyText"/>
        <w:spacing w:line="304" w:lineRule="auto" w:before="21"/>
        <w:ind w:right="114" w:firstLine="330"/>
        <w:jc w:val="both"/>
      </w:pPr>
      <w:r>
        <w:rPr>
          <w:color w:val="231F20"/>
        </w:rPr>
        <w:t>（ 2）承包人为实施本合同发出的一切函件均应盖有承包人授权的现场机构公章和承包人项目经理或其授权代表签名。</w:t>
      </w:r>
    </w:p>
    <w:p>
      <w:pPr>
        <w:pStyle w:val="BodyText"/>
        <w:spacing w:line="304" w:lineRule="auto" w:before="21"/>
        <w:ind w:right="116" w:firstLine="330"/>
        <w:jc w:val="both"/>
      </w:pPr>
      <w:r>
        <w:rPr>
          <w:color w:val="231F20"/>
        </w:rPr>
        <w:t>（ 3）承包人指派的项目经理应经发包人同意。项目经理易人，应事先征得发包人同意。项目经理短期离开工地，应委派代表代行其职，并通知监理人。</w:t>
      </w:r>
    </w:p>
    <w:p>
      <w:pPr>
        <w:pStyle w:val="ListParagraph"/>
        <w:numPr>
          <w:ilvl w:val="0"/>
          <w:numId w:val="1"/>
        </w:numPr>
        <w:tabs>
          <w:tab w:pos="1021" w:val="left" w:leader="none"/>
          <w:tab w:pos="1022" w:val="left" w:leader="none"/>
        </w:tabs>
        <w:spacing w:line="240" w:lineRule="auto" w:before="15" w:after="0"/>
        <w:ind w:left="1021" w:right="0" w:hanging="464"/>
        <w:jc w:val="left"/>
        <w:rPr>
          <w:rFonts w:ascii="方正黑体_GBK" w:eastAsia="方正黑体_GBK" w:hint="eastAsia"/>
          <w:sz w:val="22"/>
        </w:rPr>
      </w:pPr>
      <w:r>
        <w:rPr>
          <w:rFonts w:ascii="方正黑体_GBK" w:eastAsia="方正黑体_GBK" w:hint="eastAsia"/>
          <w:color w:val="231F20"/>
          <w:sz w:val="22"/>
        </w:rPr>
        <w:t>承包人人员的管理</w:t>
      </w:r>
    </w:p>
    <w:p>
      <w:pPr>
        <w:pStyle w:val="ListParagraph"/>
        <w:numPr>
          <w:ilvl w:val="1"/>
          <w:numId w:val="1"/>
        </w:numPr>
        <w:tabs>
          <w:tab w:pos="1158" w:val="left" w:leader="none"/>
          <w:tab w:pos="1159" w:val="left" w:leader="none"/>
        </w:tabs>
        <w:spacing w:line="240" w:lineRule="auto" w:before="102" w:after="0"/>
        <w:ind w:left="1158" w:right="0" w:hanging="601"/>
        <w:jc w:val="left"/>
        <w:rPr>
          <w:sz w:val="22"/>
        </w:rPr>
      </w:pPr>
      <w:r>
        <w:rPr>
          <w:color w:val="231F20"/>
          <w:sz w:val="22"/>
        </w:rPr>
        <w:t>承包人人员的安排</w:t>
      </w:r>
    </w:p>
    <w:p>
      <w:pPr>
        <w:pStyle w:val="BodyText"/>
        <w:spacing w:line="304" w:lineRule="auto"/>
        <w:ind w:right="115" w:firstLine="330"/>
        <w:jc w:val="both"/>
      </w:pPr>
      <w:r>
        <w:rPr>
          <w:color w:val="231F20"/>
        </w:rPr>
        <w:t>（ 1）除合同另有规定外，承包人应自行安排和调遣其本单位和从本工程所在地或其他地方雇用的所有职员和工人，并为上述人员提供必要的工作和生活条件及负责支付酬金。</w:t>
      </w:r>
    </w:p>
    <w:p>
      <w:pPr>
        <w:pStyle w:val="BodyText"/>
        <w:spacing w:line="304" w:lineRule="auto" w:before="21"/>
        <w:ind w:right="115" w:firstLine="330"/>
        <w:jc w:val="both"/>
      </w:pPr>
      <w:r>
        <w:rPr>
          <w:color w:val="231F20"/>
        </w:rPr>
        <w:t>（ 2）承包人安排在工地的主要管理人员和专业技术骨干应相对稳定，上述人员的调动应报监理人同意。</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提交管理机构和人员情况报告</w:t>
      </w:r>
    </w:p>
    <w:p>
      <w:pPr>
        <w:pStyle w:val="BodyText"/>
        <w:spacing w:line="304" w:lineRule="auto"/>
        <w:ind w:right="109" w:firstLine="440"/>
        <w:jc w:val="both"/>
      </w:pPr>
      <w:r>
        <w:rPr>
          <w:color w:val="231F20"/>
        </w:rPr>
        <w:t>承包人应在接到开工通知后 84 天内向监理人提交承包人在工地的管理机构以及人员安排的报告，其内容应包括管理机构的设置、主要技术和管理人员资质以及各工种技术工人的配备状况。若监理人认为有必要时，承包人还应按规定的格式，定期向监理人提交工地人员变动情况的报告。</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承包人人员的上岗资格</w:t>
      </w:r>
    </w:p>
    <w:p>
      <w:pPr>
        <w:pStyle w:val="BodyText"/>
        <w:spacing w:line="304" w:lineRule="auto" w:before="88"/>
        <w:ind w:right="104" w:firstLine="440"/>
        <w:jc w:val="both"/>
      </w:pPr>
      <w:r>
        <w:rPr>
          <w:color w:val="231F20"/>
          <w:spacing w:val="-6"/>
        </w:rPr>
        <w:t>技术岗位和特殊工种的工人均应持有通过国家或有关部门统一考试或考核的资格证明，监理</w:t>
      </w:r>
      <w:r>
        <w:rPr>
          <w:color w:val="231F20"/>
          <w:spacing w:val="-8"/>
        </w:rPr>
        <w:t>人认为有必要时可进行考核，合格者才准上岗。承包人应在按第 </w:t>
      </w:r>
      <w:r>
        <w:rPr>
          <w:color w:val="231F20"/>
          <w:spacing w:val="-7"/>
        </w:rPr>
        <w:t>13.2</w:t>
      </w:r>
      <w:r>
        <w:rPr>
          <w:color w:val="231F20"/>
          <w:spacing w:val="-6"/>
        </w:rPr>
        <w:t> 款要求提交的人员情况报告</w:t>
      </w:r>
      <w:r>
        <w:rPr>
          <w:color w:val="231F20"/>
          <w:spacing w:val="-9"/>
        </w:rPr>
        <w:t>中，说明承包人人员持有上岗资格证明的情况。监理人有权随时检查承包人人员的上岗资格证明。</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监理人有权要求撤换承包人的人员</w:t>
      </w:r>
    </w:p>
    <w:p>
      <w:pPr>
        <w:pStyle w:val="BodyText"/>
        <w:spacing w:line="304" w:lineRule="auto"/>
        <w:ind w:firstLine="440"/>
      </w:pPr>
      <w:r>
        <w:rPr>
          <w:color w:val="231F20"/>
        </w:rPr>
        <w:t>承包人应对其在工地的人员进行有效的管理，使其能做到尽职尽责。监理人有权要求撤换那些不能胜任本职工作或行为不端或玩忽职守的任何人员，承包人应及时予以撤换。</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保障承包人人员的合法权益</w:t>
      </w:r>
    </w:p>
    <w:p>
      <w:pPr>
        <w:pStyle w:val="BodyText"/>
        <w:spacing w:line="304" w:lineRule="auto"/>
        <w:ind w:firstLine="440"/>
      </w:pPr>
      <w:r>
        <w:rPr>
          <w:color w:val="231F20"/>
        </w:rPr>
        <w:t>承包人应遵守有关法律、法规和规章的规定，充分保障承包人人员的合法权益。承包人应做到（但不限于）：</w:t>
      </w:r>
    </w:p>
    <w:p>
      <w:pPr>
        <w:pStyle w:val="BodyText"/>
        <w:spacing w:before="21"/>
        <w:ind w:left="447"/>
      </w:pPr>
      <w:r>
        <w:rPr>
          <w:color w:val="231F20"/>
        </w:rPr>
        <w:t>（ 1）保证其人员有享受休息和休假的权利，承包人应按劳动法的规定安排其人员的工作时</w:t>
      </w:r>
    </w:p>
    <w:p>
      <w:pPr>
        <w:spacing w:after="0"/>
        <w:sectPr>
          <w:footerReference w:type="even" r:id="rId7"/>
          <w:footerReference w:type="default" r:id="rId8"/>
          <w:pgSz w:w="11910" w:h="16840"/>
          <w:pgMar w:footer="832" w:header="0" w:top="1580" w:bottom="1020" w:left="1300" w:right="1300"/>
        </w:sectPr>
      </w:pPr>
    </w:p>
    <w:p>
      <w:pPr>
        <w:pStyle w:val="BodyText"/>
        <w:spacing w:line="304" w:lineRule="auto" w:before="24"/>
        <w:ind w:right="93"/>
      </w:pPr>
      <w:r>
        <w:rPr>
          <w:color w:val="231F20"/>
        </w:rPr>
        <w:t>间。因工程施工的特殊需要占用休假日或延长工作时间，不应超过规定的限度，并应按规定给予补休或付酬。</w:t>
      </w:r>
    </w:p>
    <w:p>
      <w:pPr>
        <w:pStyle w:val="BodyText"/>
        <w:spacing w:line="304" w:lineRule="auto" w:before="21"/>
        <w:ind w:right="199" w:firstLine="330"/>
      </w:pPr>
      <w:r>
        <w:rPr>
          <w:color w:val="231F20"/>
        </w:rPr>
        <w:t>（ 2）为其人员提供必要的食宿条件以及符合环境保护和卫生要求的生活环境，配备必要的伤病预防、治疗和急救的医务人员和医疗设施。</w:t>
      </w:r>
    </w:p>
    <w:p>
      <w:pPr>
        <w:pStyle w:val="BodyText"/>
        <w:spacing w:line="304" w:lineRule="auto" w:before="21"/>
        <w:ind w:right="93" w:firstLine="330"/>
      </w:pPr>
      <w:r>
        <w:rPr>
          <w:color w:val="231F20"/>
        </w:rPr>
        <w:t>（ 3）按有关劳动保护的规定采取有效的防止粉尘、降低噪声、控制有害气体和保障高温、高寒、高空作业安全等措施。若其人员在施工中受到伤害，承包人应有责任立即采取有效措施进行抢救和治疗。</w:t>
      </w:r>
    </w:p>
    <w:p>
      <w:pPr>
        <w:pStyle w:val="BodyText"/>
        <w:spacing w:before="21"/>
        <w:ind w:left="447"/>
      </w:pPr>
      <w:r>
        <w:rPr>
          <w:color w:val="231F20"/>
        </w:rPr>
        <w:t>（ 4）按有关法律、法规和规章的规定，为其管辖的所有人员办理养老保险。</w:t>
      </w:r>
    </w:p>
    <w:p>
      <w:pPr>
        <w:pStyle w:val="BodyText"/>
        <w:ind w:left="447"/>
      </w:pPr>
      <w:r>
        <w:rPr>
          <w:color w:val="231F20"/>
        </w:rPr>
        <w:t>（ 5）负责处理其管辖人员伤亡事故的全部善后事宜。</w:t>
      </w:r>
    </w:p>
    <w:p>
      <w:pPr>
        <w:pStyle w:val="BodyText"/>
        <w:spacing w:before="13"/>
        <w:ind w:left="0"/>
        <w:rPr>
          <w:sz w:val="15"/>
        </w:rPr>
      </w:pPr>
    </w:p>
    <w:p>
      <w:pPr>
        <w:pStyle w:val="Heading2"/>
        <w:spacing w:before="1"/>
      </w:pPr>
      <w:r>
        <w:rPr>
          <w:color w:val="231F20"/>
        </w:rPr>
        <w:t>十、材料和设备</w:t>
      </w:r>
    </w:p>
    <w:p>
      <w:pPr>
        <w:pStyle w:val="ListParagraph"/>
        <w:numPr>
          <w:ilvl w:val="0"/>
          <w:numId w:val="1"/>
        </w:numPr>
        <w:tabs>
          <w:tab w:pos="1021" w:val="left" w:leader="none"/>
          <w:tab w:pos="1022" w:val="left" w:leader="none"/>
        </w:tabs>
        <w:spacing w:line="240" w:lineRule="auto" w:before="229" w:after="0"/>
        <w:ind w:left="1021" w:right="0" w:hanging="464"/>
        <w:jc w:val="left"/>
        <w:rPr>
          <w:rFonts w:ascii="方正黑体_GBK" w:eastAsia="方正黑体_GBK" w:hint="eastAsia"/>
          <w:sz w:val="22"/>
        </w:rPr>
      </w:pPr>
      <w:r>
        <w:rPr>
          <w:rFonts w:ascii="方正黑体_GBK" w:eastAsia="方正黑体_GBK" w:hint="eastAsia"/>
          <w:color w:val="231F20"/>
          <w:sz w:val="22"/>
        </w:rPr>
        <w:t>材料和工程设备的提供</w:t>
      </w:r>
    </w:p>
    <w:p>
      <w:pPr>
        <w:pStyle w:val="ListParagraph"/>
        <w:numPr>
          <w:ilvl w:val="1"/>
          <w:numId w:val="1"/>
        </w:numPr>
        <w:tabs>
          <w:tab w:pos="1158" w:val="left" w:leader="none"/>
          <w:tab w:pos="1159" w:val="left" w:leader="none"/>
        </w:tabs>
        <w:spacing w:line="240" w:lineRule="auto" w:before="101" w:after="0"/>
        <w:ind w:left="1158" w:right="0" w:hanging="601"/>
        <w:jc w:val="left"/>
        <w:rPr>
          <w:sz w:val="22"/>
        </w:rPr>
      </w:pPr>
      <w:r>
        <w:rPr>
          <w:color w:val="231F20"/>
          <w:sz w:val="22"/>
        </w:rPr>
        <w:t>承包人提供的材料和工程设备</w:t>
      </w:r>
    </w:p>
    <w:p>
      <w:pPr>
        <w:pStyle w:val="BodyText"/>
        <w:spacing w:line="304" w:lineRule="auto" w:before="88"/>
        <w:ind w:right="199" w:firstLine="330"/>
      </w:pPr>
      <w:r>
        <w:rPr>
          <w:color w:val="231F20"/>
        </w:rPr>
        <w:t>（ 1）除合同另有规定外，为完成本合同各项工作所需的材料和按合同规定由承包人提供的工程设备，均由承包人负责采购、验收、运输和保管。</w:t>
      </w:r>
    </w:p>
    <w:p>
      <w:pPr>
        <w:pStyle w:val="BodyText"/>
        <w:spacing w:line="304" w:lineRule="auto" w:before="20"/>
        <w:ind w:right="93" w:firstLine="330"/>
      </w:pPr>
      <w:r>
        <w:rPr>
          <w:color w:val="231F20"/>
        </w:rPr>
        <w:t>（ 2）合同规定由承包人负责采购的主要材料和工程设备，一经与供货厂家签订供货协议， 应将一份副本提交监理人。</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发包人提供的工程设备</w:t>
      </w:r>
    </w:p>
    <w:p>
      <w:pPr>
        <w:pStyle w:val="BodyText"/>
        <w:spacing w:line="304" w:lineRule="auto" w:before="88"/>
        <w:ind w:right="199" w:firstLine="330"/>
      </w:pPr>
      <w:r>
        <w:rPr>
          <w:color w:val="231F20"/>
        </w:rPr>
        <w:t>（ 1）按合同规定由发包人提供的工程设备的名称、规格、数量、交货地点和计划交货日期，均规定在专用合同条款中。</w:t>
      </w:r>
    </w:p>
    <w:p>
      <w:pPr>
        <w:pStyle w:val="BodyText"/>
        <w:spacing w:line="304" w:lineRule="auto" w:before="20"/>
        <w:ind w:right="215" w:firstLine="330"/>
        <w:jc w:val="both"/>
      </w:pPr>
      <w:r>
        <w:rPr>
          <w:color w:val="231F20"/>
        </w:rPr>
        <w:t>（ 2）承包人应根据合同进度计划的安排，提交一份满足工程设备安装进度要求的交货日期计划报送监理人审批，并抄送发包人。监理人收到上述交货日期计划后，应与发包人共同协商确定交货日期。</w:t>
      </w:r>
    </w:p>
    <w:p>
      <w:pPr>
        <w:pStyle w:val="BodyText"/>
        <w:spacing w:line="304" w:lineRule="auto" w:before="20"/>
        <w:ind w:right="199" w:firstLine="330"/>
      </w:pPr>
      <w:r>
        <w:rPr>
          <w:color w:val="231F20"/>
        </w:rPr>
        <w:t>（ 3）发包人提供的工程设备不能按期交货时，应事先通知承包人，并应按第 20.2 款的规定办理，由此增加的费用和工期延误责任，由发包人承担。</w:t>
      </w:r>
    </w:p>
    <w:p>
      <w:pPr>
        <w:pStyle w:val="BodyText"/>
        <w:spacing w:line="304" w:lineRule="auto" w:before="20"/>
        <w:ind w:right="199" w:firstLine="330"/>
      </w:pPr>
      <w:r>
        <w:rPr>
          <w:color w:val="231F20"/>
        </w:rPr>
        <w:t>（ 4）发包人要求按专用合同条款中规定的提前交货期限内交货时，承包人不应拒绝，并不得要求增加任何费用。</w:t>
      </w:r>
    </w:p>
    <w:p>
      <w:pPr>
        <w:pStyle w:val="BodyText"/>
        <w:spacing w:line="304" w:lineRule="auto" w:before="20"/>
        <w:ind w:right="199" w:firstLine="330"/>
      </w:pPr>
      <w:r>
        <w:rPr>
          <w:color w:val="231F20"/>
        </w:rPr>
        <w:t>（ 5）承包人要求更改交货日期时，应事先报监理人批准，否则由于承包人要求提前交货或不按时提货所增加的费用和工期延误责任，由承包人承担。</w:t>
      </w:r>
    </w:p>
    <w:p>
      <w:pPr>
        <w:pStyle w:val="BodyText"/>
        <w:spacing w:line="304" w:lineRule="auto" w:before="20"/>
        <w:ind w:right="199" w:firstLine="330"/>
      </w:pPr>
      <w:r>
        <w:rPr>
          <w:color w:val="231F20"/>
        </w:rPr>
        <w:t>（ 6）若发包人提供的工程设备的规格、数量或质量不符合合同要求或交货日期拖后，由此增加的费用和工期延误责任，由发包人承担。</w:t>
      </w:r>
    </w:p>
    <w:p>
      <w:pPr>
        <w:pStyle w:val="ListParagraph"/>
        <w:numPr>
          <w:ilvl w:val="0"/>
          <w:numId w:val="1"/>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承包人材料和设备的管理</w:t>
      </w:r>
    </w:p>
    <w:p>
      <w:pPr>
        <w:pStyle w:val="ListParagraph"/>
        <w:numPr>
          <w:ilvl w:val="1"/>
          <w:numId w:val="1"/>
        </w:numPr>
        <w:tabs>
          <w:tab w:pos="1158" w:val="left" w:leader="none"/>
          <w:tab w:pos="1159" w:val="left" w:leader="none"/>
        </w:tabs>
        <w:spacing w:line="240" w:lineRule="auto" w:before="101" w:after="0"/>
        <w:ind w:left="1158" w:right="0" w:hanging="601"/>
        <w:jc w:val="left"/>
        <w:rPr>
          <w:sz w:val="22"/>
        </w:rPr>
      </w:pPr>
      <w:r>
        <w:rPr>
          <w:color w:val="231F20"/>
          <w:sz w:val="22"/>
        </w:rPr>
        <w:t>承包人设备应及时进入工地</w:t>
      </w:r>
    </w:p>
    <w:p>
      <w:pPr>
        <w:spacing w:after="0" w:line="240" w:lineRule="auto"/>
        <w:jc w:val="left"/>
        <w:rPr>
          <w:sz w:val="22"/>
        </w:rPr>
        <w:sectPr>
          <w:pgSz w:w="11910" w:h="16840"/>
          <w:pgMar w:header="0" w:footer="832" w:top="1580" w:bottom="1020" w:left="1300" w:right="1200"/>
        </w:sectPr>
      </w:pPr>
    </w:p>
    <w:p>
      <w:pPr>
        <w:pStyle w:val="BodyText"/>
        <w:spacing w:line="304" w:lineRule="auto" w:before="24"/>
        <w:ind w:right="214" w:firstLine="440"/>
        <w:jc w:val="both"/>
      </w:pPr>
      <w:r>
        <w:rPr>
          <w:color w:val="231F20"/>
        </w:rPr>
        <w:t>合同规定的承包人设备应按合同进度计划（在施工总进度计划尚未批准前，按签订协议书时商定的设备进点计划）进入工地，并需经监理人核查后投入使用，若承包人需更换合同规定的承包人设备时，须经监理人批准。</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承包人的材料和设备专用于本合同工程</w:t>
      </w:r>
    </w:p>
    <w:p>
      <w:pPr>
        <w:pStyle w:val="BodyText"/>
        <w:ind w:left="447"/>
      </w:pPr>
      <w:r>
        <w:rPr>
          <w:color w:val="231F20"/>
        </w:rPr>
        <w:t>（ 1）承包人运入工地的所有材料和设备应专用于本合同工程。</w:t>
      </w:r>
    </w:p>
    <w:p>
      <w:pPr>
        <w:pStyle w:val="BodyText"/>
        <w:spacing w:line="304" w:lineRule="auto"/>
        <w:ind w:right="215" w:firstLine="330"/>
        <w:jc w:val="both"/>
      </w:pPr>
      <w:r>
        <w:rPr>
          <w:color w:val="231F20"/>
        </w:rPr>
        <w:t>（ 2）承包人除在工地内转移这些材料和设备外，未经监理人同意，不得将上述材料和设备中的任何部分运出工地。但承包人从事运送人员和外出接运货物的车辆不要求办理同意手续。</w:t>
      </w:r>
    </w:p>
    <w:p>
      <w:pPr>
        <w:pStyle w:val="BodyText"/>
        <w:spacing w:line="304" w:lineRule="auto" w:before="21"/>
        <w:ind w:right="204" w:firstLine="330"/>
        <w:jc w:val="both"/>
      </w:pPr>
      <w:r>
        <w:rPr>
          <w:color w:val="231F20"/>
        </w:rPr>
        <w:t>（ 3）承包人在征得监理人同意后，可以按不同施工阶段的计划撤走其属于自己的闲置设备。</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承包人旧施工设备的管理</w:t>
      </w:r>
    </w:p>
    <w:p>
      <w:pPr>
        <w:pStyle w:val="BodyText"/>
        <w:spacing w:line="304" w:lineRule="auto"/>
        <w:ind w:right="207" w:firstLine="440"/>
        <w:jc w:val="both"/>
      </w:pPr>
      <w:r>
        <w:rPr>
          <w:color w:val="231F20"/>
        </w:rPr>
        <w:t>承包人的旧施工设备进入工地前必须按有关规定进行年检和定期检修，并应由具有设备检定资格的机构出具检修合格证或经监理人检查后才准进入工地。承包人还应在旧施工设备进入工地前提交主要设备的使用和检修记录，并应配置足够的备品备件以保证旧施工设备的正常运行。</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承包人租用的施工设备</w:t>
      </w:r>
    </w:p>
    <w:p>
      <w:pPr>
        <w:pStyle w:val="BodyText"/>
        <w:spacing w:line="304" w:lineRule="auto" w:before="88"/>
        <w:ind w:right="93" w:firstLine="330"/>
      </w:pPr>
      <w:r>
        <w:rPr>
          <w:color w:val="231F20"/>
        </w:rPr>
        <w:t>（ 1）发包人拟向承包人出租施工设备时，应在专用合同条款中写明各种租赁设备的型号、规格、完好程度和租赁价格。</w:t>
      </w:r>
    </w:p>
    <w:p>
      <w:pPr>
        <w:pStyle w:val="BodyText"/>
        <w:spacing w:line="304" w:lineRule="auto" w:before="20"/>
        <w:ind w:right="214" w:firstLine="330"/>
        <w:jc w:val="both"/>
      </w:pPr>
      <w:r>
        <w:rPr>
          <w:color w:val="231F20"/>
        </w:rPr>
        <w:t>（ 2）承包人可以根据自身的条件选租发包人的施工设备。若承包人计划租赁发包人提供的施工设备，则应在投标时提出选用的租赁设备清单和租用时间，并在报价中计入相应的租赁费用，中标后另行签订协议。</w:t>
      </w:r>
    </w:p>
    <w:p>
      <w:pPr>
        <w:pStyle w:val="BodyText"/>
        <w:spacing w:line="304" w:lineRule="auto" w:before="20"/>
        <w:ind w:right="214" w:firstLine="330"/>
        <w:jc w:val="both"/>
      </w:pPr>
      <w:r>
        <w:rPr>
          <w:color w:val="231F20"/>
        </w:rPr>
        <w:t>（ 3）承包人从其他人处租赁施工设备时，则应在签订的租赁协议中明确规定若在协议有效期内发生承包人违约而解除合同时，发包人或发包人邀请承包本合同的其他承包人，可以相同的条件取得该施工设备的使用权。</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监理人有权要求承包人增加和更换施工设备</w:t>
      </w:r>
    </w:p>
    <w:p>
      <w:pPr>
        <w:pStyle w:val="BodyText"/>
        <w:spacing w:line="304" w:lineRule="auto"/>
        <w:ind w:right="93" w:firstLine="440"/>
      </w:pPr>
      <w:r>
        <w:rPr>
          <w:color w:val="231F20"/>
        </w:rPr>
        <w:t>监理人一旦发现承包人使用的施工设备影响工程进度或质量时，有权要求承包人增加或更换施工设备，承包人应予及时增加或更换，由此增加的费用和工期延误责任由承包人承担。</w:t>
      </w:r>
    </w:p>
    <w:p>
      <w:pPr>
        <w:pStyle w:val="Heading2"/>
      </w:pPr>
      <w:r>
        <w:rPr>
          <w:color w:val="231F20"/>
        </w:rPr>
        <w:t>十一、交通运输</w:t>
      </w:r>
    </w:p>
    <w:p>
      <w:pPr>
        <w:pStyle w:val="ListParagraph"/>
        <w:numPr>
          <w:ilvl w:val="0"/>
          <w:numId w:val="1"/>
        </w:numPr>
        <w:tabs>
          <w:tab w:pos="1021" w:val="left" w:leader="none"/>
          <w:tab w:pos="1022" w:val="left" w:leader="none"/>
        </w:tabs>
        <w:spacing w:line="240" w:lineRule="auto" w:before="228" w:after="0"/>
        <w:ind w:left="1021" w:right="0" w:hanging="464"/>
        <w:jc w:val="left"/>
        <w:rPr>
          <w:rFonts w:ascii="方正黑体_GBK" w:eastAsia="方正黑体_GBK" w:hint="eastAsia"/>
          <w:sz w:val="22"/>
        </w:rPr>
      </w:pPr>
      <w:r>
        <w:rPr>
          <w:rFonts w:ascii="方正黑体_GBK" w:eastAsia="方正黑体_GBK" w:hint="eastAsia"/>
          <w:color w:val="231F20"/>
          <w:sz w:val="22"/>
        </w:rPr>
        <w:t>交通运输</w:t>
      </w:r>
    </w:p>
    <w:p>
      <w:pPr>
        <w:pStyle w:val="ListParagraph"/>
        <w:numPr>
          <w:ilvl w:val="1"/>
          <w:numId w:val="1"/>
        </w:numPr>
        <w:tabs>
          <w:tab w:pos="1158" w:val="left" w:leader="none"/>
          <w:tab w:pos="1159" w:val="left" w:leader="none"/>
        </w:tabs>
        <w:spacing w:line="240" w:lineRule="auto" w:before="101" w:after="0"/>
        <w:ind w:left="1158" w:right="0" w:hanging="601"/>
        <w:jc w:val="left"/>
        <w:rPr>
          <w:sz w:val="22"/>
        </w:rPr>
      </w:pPr>
      <w:r>
        <w:rPr>
          <w:color w:val="231F20"/>
          <w:sz w:val="22"/>
        </w:rPr>
        <w:t>场内施工道路</w:t>
      </w:r>
    </w:p>
    <w:p>
      <w:pPr>
        <w:pStyle w:val="BodyText"/>
        <w:spacing w:line="304" w:lineRule="auto"/>
        <w:ind w:right="213" w:firstLine="330"/>
        <w:jc w:val="both"/>
      </w:pPr>
      <w:r>
        <w:rPr>
          <w:color w:val="231F20"/>
        </w:rPr>
        <w:t>（ 1）发包人按第 4.5 款规定提交给承包人使用的道路和交通设施，应由承包人负责其在合同实施期内的维修、养护和交通管理工作，并承担一切费用。</w:t>
      </w:r>
    </w:p>
    <w:p>
      <w:pPr>
        <w:pStyle w:val="BodyText"/>
        <w:spacing w:before="21"/>
        <w:ind w:left="447"/>
      </w:pPr>
      <w:r>
        <w:rPr>
          <w:color w:val="231F20"/>
        </w:rPr>
        <w:t>（ 2）除本款（ 1）项所述的由发包人提供的部分道路和交通设施外，承包人应负责修建、</w:t>
      </w:r>
    </w:p>
    <w:p>
      <w:pPr>
        <w:spacing w:after="0"/>
        <w:sectPr>
          <w:footerReference w:type="even" r:id="rId9"/>
          <w:footerReference w:type="default" r:id="rId10"/>
          <w:pgSz w:w="11910" w:h="16840"/>
          <w:pgMar w:footer="832" w:header="0" w:top="1580" w:bottom="1020" w:left="1300" w:right="1200"/>
          <w:pgNumType w:start="12"/>
        </w:sectPr>
      </w:pPr>
    </w:p>
    <w:p>
      <w:pPr>
        <w:pStyle w:val="BodyText"/>
        <w:spacing w:before="24"/>
      </w:pPr>
      <w:r>
        <w:rPr>
          <w:color w:val="231F20"/>
        </w:rPr>
        <w:t>维修、养护和管理其施工所需的全部临时道路和交通设施，并承担一切费用。</w:t>
      </w:r>
    </w:p>
    <w:p>
      <w:pPr>
        <w:pStyle w:val="BodyText"/>
        <w:spacing w:line="304" w:lineRule="auto"/>
        <w:ind w:right="199" w:firstLine="330"/>
      </w:pPr>
      <w:r>
        <w:rPr>
          <w:color w:val="231F20"/>
        </w:rPr>
        <w:t>（ 3）承包人修建的临时道路和交通设施，应免费提供给发包人和监理人使用；其他承包人需要使用上述道路和设施时，应按第 5.12 款的规定办理。</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场外公共交通</w:t>
      </w:r>
    </w:p>
    <w:p>
      <w:pPr>
        <w:pStyle w:val="BodyText"/>
        <w:spacing w:line="304" w:lineRule="auto"/>
        <w:ind w:right="199" w:firstLine="330"/>
      </w:pPr>
      <w:r>
        <w:rPr>
          <w:color w:val="231F20"/>
        </w:rPr>
        <w:t>（ 1）承包人的车辆外出行驶所需的场外公共道路的通行费、养路费和税款等一切费用由承包人承担。</w:t>
      </w:r>
    </w:p>
    <w:p>
      <w:pPr>
        <w:pStyle w:val="BodyText"/>
        <w:spacing w:line="304" w:lineRule="auto" w:before="20"/>
        <w:ind w:right="93" w:firstLine="330"/>
      </w:pPr>
      <w:r>
        <w:rPr>
          <w:color w:val="231F20"/>
        </w:rPr>
        <w:t>（ 2）承包人车辆应服从当地交通部门的管理，严格按照道路和桥梁的限制荷重安全行驶， 并服从交通监管部门的检查和检验。</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超大件和超重件的运输</w:t>
      </w:r>
    </w:p>
    <w:p>
      <w:pPr>
        <w:pStyle w:val="BodyText"/>
        <w:spacing w:line="304" w:lineRule="auto"/>
        <w:ind w:right="93" w:firstLine="440"/>
      </w:pPr>
      <w:r>
        <w:rPr>
          <w:color w:val="231F20"/>
        </w:rPr>
        <w:t>由承包人负责运输的物件中，若遇有超大件或超重件时，应由承包人负责向交通管理部门办理申请手续。运输超大件或超重件所需进行的道路和桥梁临时加固改造费用和其他有关费用，均由承包人承担。若实际运输中的超大件或超重件超过合同规定的件数、尺寸或重量时， 应由发包人和承包人共同协商确定各自分担的费用。</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道路和桥梁的损坏责任</w:t>
      </w:r>
    </w:p>
    <w:p>
      <w:pPr>
        <w:pStyle w:val="BodyText"/>
        <w:spacing w:line="304" w:lineRule="auto"/>
        <w:ind w:right="93" w:firstLine="440"/>
      </w:pPr>
      <w:r>
        <w:rPr>
          <w:color w:val="231F20"/>
        </w:rPr>
        <w:t>承包人应为自己进行的物品运输造成工地内外公共道路和桥梁的损坏负全部责任，并负责支付修复损坏的全部费用和可能引起的索赔。</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水路运输</w:t>
      </w:r>
    </w:p>
    <w:p>
      <w:pPr>
        <w:pStyle w:val="BodyText"/>
        <w:spacing w:line="304" w:lineRule="auto"/>
        <w:ind w:right="93" w:firstLine="440"/>
      </w:pPr>
      <w:r>
        <w:rPr>
          <w:color w:val="231F20"/>
        </w:rPr>
        <w:t>本条上述各款的内容亦适用于水路运输，其中“道路”一词的涵义应包括水闸、码头、堤防或与水路有关的其他结构物；“车辆”一词的涵义应包括船舶，本条各款规定仍有效。</w:t>
      </w:r>
    </w:p>
    <w:p>
      <w:pPr>
        <w:pStyle w:val="Heading2"/>
      </w:pPr>
      <w:r>
        <w:rPr>
          <w:color w:val="231F20"/>
        </w:rPr>
        <w:t>十二、工程进度</w:t>
      </w:r>
    </w:p>
    <w:p>
      <w:pPr>
        <w:pStyle w:val="ListParagraph"/>
        <w:numPr>
          <w:ilvl w:val="0"/>
          <w:numId w:val="1"/>
        </w:numPr>
        <w:tabs>
          <w:tab w:pos="1021" w:val="left" w:leader="none"/>
          <w:tab w:pos="1022" w:val="left" w:leader="none"/>
        </w:tabs>
        <w:spacing w:line="240" w:lineRule="auto" w:before="229" w:after="0"/>
        <w:ind w:left="1021" w:right="0" w:hanging="464"/>
        <w:jc w:val="left"/>
        <w:rPr>
          <w:rFonts w:ascii="方正黑体_GBK" w:eastAsia="方正黑体_GBK" w:hint="eastAsia"/>
          <w:sz w:val="22"/>
        </w:rPr>
      </w:pPr>
      <w:r>
        <w:rPr>
          <w:rFonts w:ascii="方正黑体_GBK" w:eastAsia="方正黑体_GBK" w:hint="eastAsia"/>
          <w:color w:val="231F20"/>
          <w:sz w:val="22"/>
        </w:rPr>
        <w:t>进度计划</w:t>
      </w:r>
    </w:p>
    <w:p>
      <w:pPr>
        <w:pStyle w:val="ListParagraph"/>
        <w:numPr>
          <w:ilvl w:val="1"/>
          <w:numId w:val="1"/>
        </w:numPr>
        <w:tabs>
          <w:tab w:pos="1158" w:val="left" w:leader="none"/>
          <w:tab w:pos="1159" w:val="left" w:leader="none"/>
        </w:tabs>
        <w:spacing w:line="240" w:lineRule="auto" w:before="102" w:after="0"/>
        <w:ind w:left="1158" w:right="0" w:hanging="601"/>
        <w:jc w:val="left"/>
        <w:rPr>
          <w:sz w:val="22"/>
        </w:rPr>
      </w:pPr>
      <w:r>
        <w:rPr>
          <w:color w:val="231F20"/>
          <w:sz w:val="22"/>
        </w:rPr>
        <w:t>合同进度计划</w:t>
      </w:r>
    </w:p>
    <w:p>
      <w:pPr>
        <w:pStyle w:val="BodyText"/>
        <w:spacing w:line="304" w:lineRule="auto"/>
        <w:ind w:right="213" w:firstLine="440"/>
        <w:jc w:val="both"/>
      </w:pPr>
      <w:r>
        <w:rPr>
          <w:color w:val="231F20"/>
        </w:rPr>
        <w:t>承包人应按《技术条款》规定的内容和期限以及监理人的指示，编制施工总进度计划报送监理人审批。监理人应在《技术条款》规定的期限内批复承包人。经监理人批准的施工总进度</w:t>
      </w:r>
      <w:r>
        <w:rPr>
          <w:color w:val="231F20"/>
          <w:spacing w:val="0"/>
        </w:rPr>
        <w:t>计划</w:t>
      </w:r>
      <w:r>
        <w:rPr>
          <w:color w:val="231F20"/>
          <w:spacing w:val="3"/>
        </w:rPr>
        <w:t>（称合同进度计划</w:t>
      </w:r>
      <w:r>
        <w:rPr>
          <w:color w:val="231F20"/>
          <w:spacing w:val="-110"/>
        </w:rPr>
        <w:t>）</w:t>
      </w:r>
      <w:r>
        <w:rPr>
          <w:color w:val="231F20"/>
        </w:rPr>
        <w:t>，作为控制本合同工程进度的依据，并据此编制年、季和月进度计划报送监理人审批。在施工总进度计划批准前，应按签订协议书时商定的进度计划和监理人的指示控制工程进展。</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修订进度计划</w:t>
      </w:r>
    </w:p>
    <w:p>
      <w:pPr>
        <w:pStyle w:val="BodyText"/>
        <w:spacing w:line="304" w:lineRule="auto" w:before="88"/>
        <w:ind w:right="199" w:firstLine="330"/>
      </w:pPr>
      <w:r>
        <w:rPr>
          <w:color w:val="231F20"/>
        </w:rPr>
        <w:t>（ 1）不论何种原因发生工程的实际进度与第 17.1 款所述的合同进度计划不符时，承包人应按监理人的指示在 28 天内提交一份修订的进度计划报送监理人审批，监理人应在收到该进</w:t>
      </w:r>
    </w:p>
    <w:p>
      <w:pPr>
        <w:pStyle w:val="BodyText"/>
        <w:spacing w:before="20"/>
      </w:pPr>
      <w:r>
        <w:rPr>
          <w:color w:val="231F20"/>
        </w:rPr>
        <w:t>度计划后的 28 天内批复承包人。批准后的修订进度计划作为合同进度计划的补充文件。</w:t>
      </w:r>
    </w:p>
    <w:p>
      <w:pPr>
        <w:pStyle w:val="BodyText"/>
        <w:ind w:left="447"/>
      </w:pPr>
      <w:r>
        <w:rPr>
          <w:color w:val="231F20"/>
        </w:rPr>
        <w:t>（2）不论何种原因造成施工进度计划拖后，承包人均应按监理人的指示，采取有效措施赶上</w:t>
      </w:r>
    </w:p>
    <w:p>
      <w:pPr>
        <w:spacing w:after="0"/>
        <w:sectPr>
          <w:pgSz w:w="11910" w:h="16840"/>
          <w:pgMar w:header="0" w:footer="832" w:top="1580" w:bottom="1020" w:left="1300" w:right="1200"/>
        </w:sectPr>
      </w:pPr>
    </w:p>
    <w:p>
      <w:pPr>
        <w:pStyle w:val="BodyText"/>
        <w:spacing w:line="304" w:lineRule="auto" w:before="24"/>
        <w:ind w:right="106"/>
        <w:jc w:val="both"/>
      </w:pPr>
      <w:r>
        <w:rPr>
          <w:color w:val="231F20"/>
          <w:spacing w:val="-6"/>
        </w:rPr>
        <w:t>进度。承包人应在向监理人报送修订进度计划的同时，编制一份赶工措施报告报送监理人审批， </w:t>
      </w:r>
      <w:r>
        <w:rPr>
          <w:color w:val="231F20"/>
          <w:spacing w:val="-9"/>
        </w:rPr>
        <w:t>赶工措施应以保证工程按期完工为前提调整和修改进度计划。由于发包人原因造成施工进度拖后， </w:t>
      </w:r>
      <w:r>
        <w:rPr>
          <w:color w:val="231F20"/>
          <w:spacing w:val="-7"/>
        </w:rPr>
        <w:t>应按第 20.2</w:t>
      </w:r>
      <w:r>
        <w:rPr>
          <w:color w:val="231F20"/>
          <w:spacing w:val="-16"/>
        </w:rPr>
        <w:t> 款的规定办理；由于承包人原因造成施工进度拖后，应按第 </w:t>
      </w:r>
      <w:r>
        <w:rPr>
          <w:color w:val="231F20"/>
          <w:spacing w:val="-7"/>
        </w:rPr>
        <w:t>20.3</w:t>
      </w:r>
      <w:r>
        <w:rPr>
          <w:color w:val="231F20"/>
          <w:spacing w:val="-9"/>
        </w:rPr>
        <w:t> 款的规定办理。</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单位工程（或部分工程）进度计划</w:t>
      </w:r>
    </w:p>
    <w:p>
      <w:pPr>
        <w:pStyle w:val="BodyText"/>
        <w:spacing w:line="304" w:lineRule="auto"/>
        <w:ind w:right="93" w:firstLine="440"/>
      </w:pPr>
      <w:r>
        <w:rPr>
          <w:color w:val="231F20"/>
        </w:rPr>
        <w:t>监理人认为有必要时，承包人应按监理人指示的内容和期限，并根据合同进度计划的进度控制要求，编制单位工程（或部分工程）进度计划报送监理人审批。</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提交资金流估算表</w:t>
      </w:r>
    </w:p>
    <w:p>
      <w:pPr>
        <w:pStyle w:val="BodyText"/>
        <w:spacing w:line="304" w:lineRule="auto" w:before="88"/>
        <w:ind w:right="214" w:firstLine="440"/>
        <w:jc w:val="both"/>
      </w:pPr>
      <w:r>
        <w:rPr>
          <w:color w:val="231F20"/>
        </w:rPr>
        <w:t>承包人应在按第 17.1 款的规定向监理人报送施工总进度计划的同时，按专用合同条款规定的格式，向监理人提交按月的资金流估算表。估算表应包括承包人计划可从发包人处得到的全部款额，以供发包人参考。此后，如监理人提出要求，承包人还应在监理人指定的期限内提交修订的资金流估算表。</w:t>
      </w:r>
    </w:p>
    <w:p>
      <w:pPr>
        <w:pStyle w:val="ListParagraph"/>
        <w:numPr>
          <w:ilvl w:val="0"/>
          <w:numId w:val="1"/>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工程开工和完工</w:t>
      </w:r>
    </w:p>
    <w:p>
      <w:pPr>
        <w:pStyle w:val="ListParagraph"/>
        <w:numPr>
          <w:ilvl w:val="1"/>
          <w:numId w:val="1"/>
        </w:numPr>
        <w:tabs>
          <w:tab w:pos="1158" w:val="left" w:leader="none"/>
          <w:tab w:pos="1159" w:val="left" w:leader="none"/>
        </w:tabs>
        <w:spacing w:line="240" w:lineRule="auto" w:before="102" w:after="0"/>
        <w:ind w:left="1158" w:right="0" w:hanging="601"/>
        <w:jc w:val="left"/>
        <w:rPr>
          <w:sz w:val="22"/>
        </w:rPr>
      </w:pPr>
      <w:r>
        <w:rPr>
          <w:color w:val="231F20"/>
          <w:sz w:val="22"/>
        </w:rPr>
        <w:t>开工通知</w:t>
      </w:r>
    </w:p>
    <w:p>
      <w:pPr>
        <w:pStyle w:val="BodyText"/>
        <w:spacing w:line="304" w:lineRule="auto"/>
        <w:ind w:right="214" w:firstLine="440"/>
        <w:jc w:val="both"/>
      </w:pPr>
      <w:r>
        <w:rPr>
          <w:color w:val="231F20"/>
        </w:rPr>
        <w:t>监理人应在专用合同条款规定的期限内，向承包人发出开工通知。承包人应在接到开工通知后及时调遣人员和调配施工设备、材料进入工地。并从开工日起按签订协议书时商定的进度计划进行施工准备。</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发包人延误开工</w:t>
      </w:r>
    </w:p>
    <w:p>
      <w:pPr>
        <w:pStyle w:val="BodyText"/>
        <w:spacing w:line="304" w:lineRule="auto" w:before="88"/>
        <w:ind w:right="214" w:firstLine="440"/>
        <w:jc w:val="both"/>
      </w:pPr>
      <w:r>
        <w:rPr>
          <w:color w:val="231F20"/>
        </w:rPr>
        <w:t>监理人未按合同规定的期限发出开工通知或发包人未能按合同规定向承包人提供开工的必要条件，承包人有权提出延长工期的要求。监理人应在收到承包人的要求后立即与发包人和承包人共同协商补救办法，由此增加的费用和工期延误责任由发包人承担。</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承包人延误进点</w:t>
      </w:r>
    </w:p>
    <w:p>
      <w:pPr>
        <w:pStyle w:val="BodyText"/>
        <w:ind w:left="557"/>
      </w:pPr>
      <w:r>
        <w:rPr>
          <w:color w:val="231F20"/>
        </w:rPr>
        <w:t>承包人在接到开工通知后 14 天内未按进度计划要求及时进点组织施工，监理人可通知承</w:t>
      </w:r>
    </w:p>
    <w:p>
      <w:pPr>
        <w:pStyle w:val="BodyText"/>
        <w:spacing w:line="304" w:lineRule="auto"/>
        <w:ind w:right="93"/>
      </w:pPr>
      <w:r>
        <w:rPr>
          <w:color w:val="231F20"/>
        </w:rPr>
        <w:t>包人在接到通知后 7 天内编制一份赶工措施报告报送监理人审批。赶工措施报告应详细说明不能及时进点的原因和赶工办法，由此增加的费用和工期延误责任由承包人承担。</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z w:val="22"/>
        </w:rPr>
        <w:t>完工日期</w:t>
      </w:r>
    </w:p>
    <w:p>
      <w:pPr>
        <w:pStyle w:val="BodyText"/>
        <w:spacing w:line="304" w:lineRule="auto" w:before="88"/>
        <w:ind w:right="33" w:firstLine="440"/>
      </w:pPr>
      <w:r>
        <w:rPr>
          <w:color w:val="231F20"/>
        </w:rPr>
        <w:t>本合同的全部工程、单位工程和部分工程的要求完工日期规定在专用合同条款中，承包人应在上述规定的完工日期内完工或在第 20.2 款和第 21 条规定可能延后或提前的完工日期内完工。</w:t>
      </w:r>
    </w:p>
    <w:p>
      <w:pPr>
        <w:pStyle w:val="ListParagraph"/>
        <w:numPr>
          <w:ilvl w:val="0"/>
          <w:numId w:val="1"/>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暂停施工</w:t>
      </w:r>
    </w:p>
    <w:p>
      <w:pPr>
        <w:pStyle w:val="ListParagraph"/>
        <w:numPr>
          <w:ilvl w:val="1"/>
          <w:numId w:val="1"/>
        </w:numPr>
        <w:tabs>
          <w:tab w:pos="1158" w:val="left" w:leader="none"/>
          <w:tab w:pos="1159" w:val="left" w:leader="none"/>
        </w:tabs>
        <w:spacing w:line="240" w:lineRule="auto" w:before="102" w:after="0"/>
        <w:ind w:left="1158" w:right="0" w:hanging="601"/>
        <w:jc w:val="left"/>
        <w:rPr>
          <w:sz w:val="22"/>
        </w:rPr>
      </w:pPr>
      <w:r>
        <w:rPr>
          <w:color w:val="231F20"/>
          <w:sz w:val="22"/>
        </w:rPr>
        <w:t>承包人暂停施工的责任</w:t>
      </w:r>
    </w:p>
    <w:p>
      <w:pPr>
        <w:pStyle w:val="BodyText"/>
        <w:ind w:left="557"/>
      </w:pPr>
      <w:r>
        <w:rPr>
          <w:color w:val="231F20"/>
        </w:rPr>
        <w:t>属于下列任何一种情况引起的暂停施工，承包人不能提出增加费用和延长工期的要求。</w:t>
      </w:r>
    </w:p>
    <w:p>
      <w:pPr>
        <w:pStyle w:val="BodyText"/>
        <w:ind w:left="447"/>
      </w:pPr>
      <w:r>
        <w:rPr>
          <w:color w:val="231F20"/>
        </w:rPr>
        <w:t>（ 1）合同中另有规定的。</w:t>
      </w:r>
    </w:p>
    <w:p>
      <w:pPr>
        <w:pStyle w:val="BodyText"/>
        <w:ind w:left="447"/>
      </w:pPr>
      <w:r>
        <w:rPr>
          <w:color w:val="231F20"/>
        </w:rPr>
        <w:t>（ 2）由于承包人违约引起的暂停施工。</w:t>
      </w:r>
    </w:p>
    <w:p>
      <w:pPr>
        <w:pStyle w:val="BodyText"/>
        <w:ind w:left="447"/>
      </w:pPr>
      <w:r>
        <w:rPr>
          <w:color w:val="231F20"/>
        </w:rPr>
        <w:t>（ 3）由于现场非异常恶劣气候条件引起的正常停工。</w:t>
      </w:r>
    </w:p>
    <w:p>
      <w:pPr>
        <w:spacing w:after="0"/>
        <w:sectPr>
          <w:pgSz w:w="11910" w:h="16840"/>
          <w:pgMar w:header="0" w:footer="832" w:top="1580" w:bottom="1020" w:left="1300" w:right="1200"/>
        </w:sectPr>
      </w:pPr>
    </w:p>
    <w:p>
      <w:pPr>
        <w:pStyle w:val="BodyText"/>
        <w:spacing w:before="24"/>
        <w:ind w:left="447"/>
      </w:pPr>
      <w:r>
        <w:rPr>
          <w:color w:val="231F20"/>
        </w:rPr>
        <w:t>（ 4）为工程的合理施工和保证安全所必须的暂停施工。</w:t>
      </w:r>
    </w:p>
    <w:p>
      <w:pPr>
        <w:pStyle w:val="BodyText"/>
        <w:ind w:left="447"/>
      </w:pPr>
      <w:r>
        <w:rPr>
          <w:color w:val="231F20"/>
        </w:rPr>
        <w:t>（ 5）未得到监理人许可的承包人擅自停工。</w:t>
      </w:r>
    </w:p>
    <w:p>
      <w:pPr>
        <w:pStyle w:val="BodyText"/>
        <w:ind w:left="447"/>
      </w:pPr>
      <w:r>
        <w:rPr>
          <w:color w:val="231F20"/>
        </w:rPr>
        <w:t>（ 6）其他由于承包人原因引起的暂停施工。</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发包人暂停施工的责任</w:t>
      </w:r>
    </w:p>
    <w:p>
      <w:pPr>
        <w:pStyle w:val="BodyText"/>
        <w:spacing w:line="304" w:lineRule="auto"/>
        <w:ind w:right="93" w:firstLine="440"/>
      </w:pPr>
      <w:r>
        <w:rPr>
          <w:color w:val="231F20"/>
        </w:rPr>
        <w:t>属于下列任何一种情况引起的暂停施工，均为发包人的责任，由此造成的工期延误，应按第 20.2 款的规定办理。</w:t>
      </w:r>
    </w:p>
    <w:p>
      <w:pPr>
        <w:pStyle w:val="BodyText"/>
        <w:spacing w:before="21"/>
        <w:ind w:left="447"/>
      </w:pPr>
      <w:r>
        <w:rPr>
          <w:color w:val="231F20"/>
        </w:rPr>
        <w:t>（ 1）由于发包人违约引起的暂停施工。</w:t>
      </w:r>
    </w:p>
    <w:p>
      <w:pPr>
        <w:pStyle w:val="BodyText"/>
        <w:ind w:left="447"/>
      </w:pPr>
      <w:r>
        <w:rPr>
          <w:color w:val="231F20"/>
        </w:rPr>
        <w:t>（ 2）由于不可抗力的自然或社会因素引起的暂停施工。</w:t>
      </w:r>
    </w:p>
    <w:p>
      <w:pPr>
        <w:pStyle w:val="BodyText"/>
        <w:ind w:left="447"/>
      </w:pPr>
      <w:r>
        <w:rPr>
          <w:color w:val="231F20"/>
        </w:rPr>
        <w:t>（ 3）其他由于发包人原因引起的暂停施工。</w:t>
      </w:r>
    </w:p>
    <w:p>
      <w:pPr>
        <w:pStyle w:val="ListParagraph"/>
        <w:numPr>
          <w:ilvl w:val="1"/>
          <w:numId w:val="1"/>
        </w:numPr>
        <w:tabs>
          <w:tab w:pos="1158" w:val="left" w:leader="none"/>
          <w:tab w:pos="1159" w:val="left" w:leader="none"/>
        </w:tabs>
        <w:spacing w:line="240" w:lineRule="auto" w:before="89" w:after="0"/>
        <w:ind w:left="1158" w:right="0" w:hanging="601"/>
        <w:jc w:val="left"/>
        <w:rPr>
          <w:sz w:val="22"/>
        </w:rPr>
      </w:pPr>
      <w:r>
        <w:rPr>
          <w:color w:val="231F20"/>
          <w:sz w:val="22"/>
        </w:rPr>
        <w:t>监理人的暂停施工指示</w:t>
      </w:r>
    </w:p>
    <w:p>
      <w:pPr>
        <w:pStyle w:val="BodyText"/>
        <w:spacing w:line="304" w:lineRule="auto"/>
        <w:ind w:right="214" w:firstLine="330"/>
        <w:jc w:val="both"/>
      </w:pPr>
      <w:r>
        <w:rPr>
          <w:color w:val="231F20"/>
        </w:rPr>
        <w:t>（ 1）监理人认为有必要时，可向承包人发布暂停工程或部分工程施工的指示，承包人应按指示的要求立即暂停施工。不论由于何种原因引起的暂停施工，承包人应在暂停施工期间负责妥善保护工程和提供安全保障。</w:t>
      </w:r>
    </w:p>
    <w:p>
      <w:pPr>
        <w:pStyle w:val="BodyText"/>
        <w:spacing w:line="304" w:lineRule="auto" w:before="21"/>
        <w:ind w:right="209" w:firstLine="330"/>
        <w:jc w:val="both"/>
      </w:pPr>
      <w:r>
        <w:rPr>
          <w:color w:val="231F20"/>
        </w:rPr>
        <w:t>（ 2）由于发包人的责任发生暂停施工的情况时，若监理人未及时下达暂停施工指示，承包人可向其提出暂停施工的书面请求，监理人应在接到请求后的 48 小时内予以答复，若不按期答复，可视为承包人请求已获同意。</w:t>
      </w:r>
    </w:p>
    <w:p>
      <w:pPr>
        <w:pStyle w:val="ListParagraph"/>
        <w:numPr>
          <w:ilvl w:val="1"/>
          <w:numId w:val="1"/>
        </w:numPr>
        <w:tabs>
          <w:tab w:pos="1158" w:val="left" w:leader="none"/>
          <w:tab w:pos="1159" w:val="left" w:leader="none"/>
        </w:tabs>
        <w:spacing w:line="240" w:lineRule="auto" w:before="21" w:after="0"/>
        <w:ind w:left="1158" w:right="0" w:hanging="601"/>
        <w:jc w:val="left"/>
        <w:rPr>
          <w:sz w:val="22"/>
        </w:rPr>
      </w:pPr>
      <w:r>
        <w:rPr>
          <w:color w:val="231F20"/>
          <w:sz w:val="22"/>
        </w:rPr>
        <w:t>暂停施工后的复工</w:t>
      </w:r>
    </w:p>
    <w:p>
      <w:pPr>
        <w:pStyle w:val="BodyText"/>
        <w:spacing w:line="304" w:lineRule="auto"/>
        <w:ind w:right="93" w:firstLine="440"/>
      </w:pPr>
      <w:r>
        <w:rPr>
          <w:color w:val="231F20"/>
        </w:rPr>
        <w:t>工程暂停施工后，监理人应与发包人和承包人协商采取有效措施积极消除停工因素的影响。当工程具备复工条件时，监理人应立即向承包人发出复工通知，承包人收到复工通知后， 应在监理人指定的期限内复工。若承包人无故拖延和拒绝复工，由此增加的费用和工期延误责任由承包人承担。</w:t>
      </w:r>
    </w:p>
    <w:p>
      <w:pPr>
        <w:pStyle w:val="ListParagraph"/>
        <w:numPr>
          <w:ilvl w:val="1"/>
          <w:numId w:val="1"/>
        </w:numPr>
        <w:tabs>
          <w:tab w:pos="1158" w:val="left" w:leader="none"/>
          <w:tab w:pos="1159" w:val="left" w:leader="none"/>
        </w:tabs>
        <w:spacing w:line="240" w:lineRule="auto" w:before="20" w:after="0"/>
        <w:ind w:left="1158" w:right="0" w:hanging="601"/>
        <w:jc w:val="left"/>
        <w:rPr>
          <w:sz w:val="22"/>
        </w:rPr>
      </w:pPr>
      <w:r>
        <w:rPr>
          <w:color w:val="231F20"/>
          <w:spacing w:val="-1"/>
          <w:sz w:val="22"/>
        </w:rPr>
        <w:t>暂停施工持续 </w:t>
      </w:r>
      <w:r>
        <w:rPr>
          <w:color w:val="231F20"/>
          <w:sz w:val="22"/>
        </w:rPr>
        <w:t>56</w:t>
      </w:r>
      <w:r>
        <w:rPr>
          <w:color w:val="231F20"/>
          <w:spacing w:val="-1"/>
          <w:sz w:val="22"/>
        </w:rPr>
        <w:t> 天以上</w:t>
      </w:r>
    </w:p>
    <w:p>
      <w:pPr>
        <w:pStyle w:val="BodyText"/>
        <w:spacing w:line="304" w:lineRule="auto" w:before="88"/>
        <w:ind w:right="208" w:firstLine="330"/>
        <w:jc w:val="both"/>
      </w:pPr>
      <w:r>
        <w:rPr>
          <w:color w:val="231F20"/>
        </w:rPr>
        <w:t>（ 1）若监理人在下达暂停施工指示后 56 天内仍未给予承包人复工通知，除了该项停工属于第 19.1 款规定的情况外，承包人可向监理人提交书面通知，要求监理人在收到书面通知后</w:t>
      </w:r>
    </w:p>
    <w:p>
      <w:pPr>
        <w:pStyle w:val="BodyText"/>
        <w:spacing w:before="20"/>
      </w:pPr>
      <w:r>
        <w:rPr>
          <w:color w:val="231F20"/>
        </w:rPr>
        <w:t>28 天内准许已暂停施工的工程或其中一部分工程继续施工。若监理人逾期不予批准，则承包人</w:t>
      </w:r>
    </w:p>
    <w:p>
      <w:pPr>
        <w:pStyle w:val="BodyText"/>
      </w:pPr>
      <w:r>
        <w:rPr>
          <w:color w:val="231F20"/>
        </w:rPr>
        <w:t>有权作出以下选择：当暂时停工仅影响合同中部分工程时，按第 39.1 款规定将此项停工工程视</w:t>
      </w:r>
    </w:p>
    <w:p>
      <w:pPr>
        <w:pStyle w:val="BodyText"/>
        <w:spacing w:line="304" w:lineRule="auto"/>
        <w:ind w:right="200"/>
      </w:pPr>
      <w:r>
        <w:rPr>
          <w:color w:val="231F20"/>
        </w:rPr>
        <w:t>作可取消的工程，并通知监理人；当暂时停工影响整个工程时，可视为发包人违约，应按第 42 条的规定办理。</w:t>
      </w:r>
    </w:p>
    <w:p>
      <w:pPr>
        <w:pStyle w:val="BodyText"/>
        <w:spacing w:line="304" w:lineRule="auto" w:before="20"/>
        <w:ind w:right="215" w:firstLine="330"/>
        <w:jc w:val="both"/>
      </w:pPr>
      <w:r>
        <w:rPr>
          <w:color w:val="231F20"/>
        </w:rPr>
        <w:t>（ 2）若发生由承包人责任引起的暂停施工时，承包人在收到监理人暂停施工指示后 56 天内不积极采取措施复工造成工期延误，则应视为承包人违约，可按第 41 条的规定办理。</w:t>
      </w:r>
    </w:p>
    <w:p>
      <w:pPr>
        <w:pStyle w:val="ListParagraph"/>
        <w:numPr>
          <w:ilvl w:val="0"/>
          <w:numId w:val="2"/>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工期延误</w:t>
      </w:r>
    </w:p>
    <w:p>
      <w:pPr>
        <w:pStyle w:val="ListParagraph"/>
        <w:numPr>
          <w:ilvl w:val="1"/>
          <w:numId w:val="2"/>
        </w:numPr>
        <w:tabs>
          <w:tab w:pos="1158" w:val="left" w:leader="none"/>
          <w:tab w:pos="1159" w:val="left" w:leader="none"/>
        </w:tabs>
        <w:spacing w:line="240" w:lineRule="auto" w:before="102" w:after="0"/>
        <w:ind w:left="1158" w:right="0" w:hanging="601"/>
        <w:jc w:val="left"/>
        <w:rPr>
          <w:sz w:val="22"/>
        </w:rPr>
      </w:pPr>
      <w:r>
        <w:rPr>
          <w:color w:val="231F20"/>
          <w:sz w:val="22"/>
        </w:rPr>
        <w:t>发包人的工期延误</w:t>
      </w:r>
    </w:p>
    <w:p>
      <w:pPr>
        <w:pStyle w:val="BodyText"/>
        <w:ind w:left="557"/>
      </w:pPr>
      <w:r>
        <w:rPr>
          <w:color w:val="231F20"/>
        </w:rPr>
        <w:t>在施工过程中，发生下列情况之一使关键项目的施工进度计划拖后而造成工期延误时，承</w:t>
      </w:r>
    </w:p>
    <w:p>
      <w:pPr>
        <w:spacing w:after="0"/>
        <w:sectPr>
          <w:pgSz w:w="11910" w:h="16840"/>
          <w:pgMar w:header="0" w:footer="832" w:top="1580" w:bottom="1020" w:left="1300" w:right="1200"/>
        </w:sectPr>
      </w:pPr>
    </w:p>
    <w:p>
      <w:pPr>
        <w:pStyle w:val="BodyText"/>
        <w:spacing w:before="24"/>
        <w:jc w:val="both"/>
      </w:pPr>
      <w:r>
        <w:rPr>
          <w:color w:val="231F20"/>
        </w:rPr>
        <w:t>包人可要求发包人延长合同规定的工期。</w:t>
      </w:r>
    </w:p>
    <w:p>
      <w:pPr>
        <w:pStyle w:val="BodyText"/>
        <w:ind w:left="447"/>
      </w:pPr>
      <w:r>
        <w:rPr>
          <w:color w:val="231F20"/>
        </w:rPr>
        <w:t>（ 1）增加合同中任何一项的工作内容。</w:t>
      </w:r>
    </w:p>
    <w:p>
      <w:pPr>
        <w:pStyle w:val="BodyText"/>
        <w:ind w:left="447"/>
      </w:pPr>
      <w:r>
        <w:rPr>
          <w:color w:val="231F20"/>
        </w:rPr>
        <w:t>（ 2）增加合同中关键项目的工程量超过专用合同条款第 39.1 款规定的百分比。</w:t>
      </w:r>
    </w:p>
    <w:p>
      <w:pPr>
        <w:pStyle w:val="BodyText"/>
        <w:ind w:left="447"/>
      </w:pPr>
      <w:r>
        <w:rPr>
          <w:color w:val="231F20"/>
        </w:rPr>
        <w:t>（ 3）增加额外的工程项目。</w:t>
      </w:r>
    </w:p>
    <w:p>
      <w:pPr>
        <w:pStyle w:val="BodyText"/>
        <w:ind w:left="447"/>
      </w:pPr>
      <w:r>
        <w:rPr>
          <w:color w:val="231F20"/>
        </w:rPr>
        <w:t>（ 4）改变合同中任何一项工作的标准或特性。</w:t>
      </w:r>
    </w:p>
    <w:p>
      <w:pPr>
        <w:pStyle w:val="BodyText"/>
        <w:ind w:left="447"/>
      </w:pPr>
      <w:r>
        <w:rPr>
          <w:color w:val="231F20"/>
        </w:rPr>
        <w:t>（ 5）本合同中涉及的由发包人责任引起的工期延误。</w:t>
      </w:r>
    </w:p>
    <w:p>
      <w:pPr>
        <w:pStyle w:val="BodyText"/>
        <w:ind w:left="447"/>
      </w:pPr>
      <w:r>
        <w:rPr>
          <w:color w:val="231F20"/>
        </w:rPr>
        <w:t>（ 6）异常恶劣的气候条件。</w:t>
      </w:r>
    </w:p>
    <w:p>
      <w:pPr>
        <w:pStyle w:val="BodyText"/>
        <w:ind w:left="447"/>
      </w:pPr>
      <w:r>
        <w:rPr>
          <w:color w:val="231F20"/>
        </w:rPr>
        <w:t>（ 7）非承包人原因造成的任何干扰或阻碍。</w:t>
      </w:r>
    </w:p>
    <w:p>
      <w:pPr>
        <w:pStyle w:val="BodyText"/>
        <w:ind w:left="447"/>
      </w:pPr>
      <w:r>
        <w:rPr>
          <w:color w:val="231F20"/>
        </w:rPr>
        <w:t>（ 8）其他可能发生的延误情况。</w:t>
      </w:r>
    </w:p>
    <w:p>
      <w:pPr>
        <w:pStyle w:val="ListParagraph"/>
        <w:numPr>
          <w:ilvl w:val="1"/>
          <w:numId w:val="2"/>
        </w:numPr>
        <w:tabs>
          <w:tab w:pos="1158" w:val="left" w:leader="none"/>
          <w:tab w:pos="1159" w:val="left" w:leader="none"/>
        </w:tabs>
        <w:spacing w:line="240" w:lineRule="auto" w:before="89" w:after="0"/>
        <w:ind w:left="1158" w:right="0" w:hanging="601"/>
        <w:jc w:val="left"/>
        <w:rPr>
          <w:sz w:val="22"/>
        </w:rPr>
      </w:pPr>
      <w:r>
        <w:rPr>
          <w:color w:val="231F20"/>
          <w:sz w:val="22"/>
        </w:rPr>
        <w:t>承包人要求延长工期的处理</w:t>
      </w:r>
    </w:p>
    <w:p>
      <w:pPr>
        <w:pStyle w:val="BodyText"/>
        <w:spacing w:line="304" w:lineRule="auto"/>
        <w:ind w:right="199" w:firstLine="330"/>
      </w:pPr>
      <w:r>
        <w:rPr>
          <w:color w:val="231F20"/>
        </w:rPr>
        <w:t>（ 1）若发生第 20.1 款所列的事件时，承包人应立即通知发包人和监理人，并在发出该通知后的 28 天内，向监理人提交一份细节报告，详细说明发生该事件的情节和对工期的影</w:t>
      </w:r>
    </w:p>
    <w:p>
      <w:pPr>
        <w:pStyle w:val="BodyText"/>
        <w:spacing w:line="304" w:lineRule="auto" w:before="21"/>
        <w:ind w:right="202"/>
        <w:jc w:val="both"/>
      </w:pPr>
      <w:r>
        <w:rPr>
          <w:color w:val="231F20"/>
        </w:rPr>
        <w:t>响程度，并按第 17.2 款的规定修订进度计划和编制赶工措施报告报送监理人审批。若发包人要求修订的进度计划仍应保证工程按期完工，则应由发包人承担由于采取赶工措施所增加的费用。</w:t>
      </w:r>
    </w:p>
    <w:p>
      <w:pPr>
        <w:pStyle w:val="BodyText"/>
        <w:spacing w:line="304" w:lineRule="auto" w:before="21"/>
        <w:ind w:right="93" w:firstLine="330"/>
      </w:pPr>
      <w:r>
        <w:rPr>
          <w:color w:val="231F20"/>
        </w:rPr>
        <w:t>（ 2）若事件的持续时间较长或事件影响工期较长，当承包人采取了赶工措施而无法实现工程按期完工时，除应按上述第（ 1）项规定的程序办理外，承包人应在事件结束后的 14 天内， 提交一份补充细节报告，详细说明要求延长工期的理由，并修订进度计划。此时发包人除按上述第（ 1）项规定承担赶工费用外，还应按以下第（ 3）项规定的程序批准给予承包人延长工期的合理天数。</w:t>
      </w:r>
    </w:p>
    <w:p>
      <w:pPr>
        <w:pStyle w:val="BodyText"/>
        <w:spacing w:line="304" w:lineRule="auto" w:before="21"/>
        <w:ind w:right="209" w:firstLine="330"/>
        <w:jc w:val="both"/>
      </w:pPr>
      <w:r>
        <w:rPr>
          <w:color w:val="231F20"/>
        </w:rPr>
        <w:t>（ 3）监理人应及时调查核实上述第（ 1）和（ 2）项中承包人提交的细节报告和补充细节报告，并在审批修订进度计划的同时，与发包人和承包人协商确定延长工期的合理天数和补偿费用的合理额度，并通知承包人。</w:t>
      </w:r>
    </w:p>
    <w:p>
      <w:pPr>
        <w:pStyle w:val="ListParagraph"/>
        <w:numPr>
          <w:ilvl w:val="1"/>
          <w:numId w:val="2"/>
        </w:numPr>
        <w:tabs>
          <w:tab w:pos="1158" w:val="left" w:leader="none"/>
          <w:tab w:pos="1159" w:val="left" w:leader="none"/>
        </w:tabs>
        <w:spacing w:line="240" w:lineRule="auto" w:before="21" w:after="0"/>
        <w:ind w:left="1158" w:right="0" w:hanging="601"/>
        <w:jc w:val="left"/>
        <w:rPr>
          <w:sz w:val="22"/>
        </w:rPr>
      </w:pPr>
      <w:r>
        <w:rPr>
          <w:color w:val="231F20"/>
          <w:sz w:val="22"/>
        </w:rPr>
        <w:t>承包人的工期延误</w:t>
      </w:r>
    </w:p>
    <w:p>
      <w:pPr>
        <w:pStyle w:val="BodyText"/>
        <w:spacing w:line="304" w:lineRule="auto"/>
        <w:ind w:right="212" w:firstLine="440"/>
        <w:jc w:val="both"/>
      </w:pPr>
      <w:r>
        <w:rPr>
          <w:color w:val="231F20"/>
        </w:rPr>
        <w:t>由于承包人原因未能按合同进度计划完成预定工作，承包人应按第 17.2 款（ 2）项的规定采取赶工措施赶上进度。若采取赶工措施后仍未能按合同规定的完工日期完工，承包人除自行承担采取赶工措施所增加的费用外，还应支付逾期完工违约金。逾期完工违约金额规定在专用合同条款中。若承包人的工期延误构成违约时，应按第 41 条的规定办理。</w:t>
      </w:r>
    </w:p>
    <w:p>
      <w:pPr>
        <w:pStyle w:val="ListParagraph"/>
        <w:numPr>
          <w:ilvl w:val="0"/>
          <w:numId w:val="2"/>
        </w:numPr>
        <w:tabs>
          <w:tab w:pos="1021" w:val="left" w:leader="none"/>
          <w:tab w:pos="1022" w:val="left" w:leader="none"/>
        </w:tabs>
        <w:spacing w:line="240" w:lineRule="auto" w:before="15" w:after="0"/>
        <w:ind w:left="1021" w:right="0" w:hanging="464"/>
        <w:jc w:val="left"/>
        <w:rPr>
          <w:rFonts w:ascii="方正黑体_GBK" w:eastAsia="方正黑体_GBK" w:hint="eastAsia"/>
          <w:sz w:val="22"/>
        </w:rPr>
      </w:pPr>
      <w:r>
        <w:rPr>
          <w:rFonts w:ascii="方正黑体_GBK" w:eastAsia="方正黑体_GBK" w:hint="eastAsia"/>
          <w:color w:val="231F20"/>
          <w:sz w:val="22"/>
        </w:rPr>
        <w:t>工期提前</w:t>
      </w:r>
    </w:p>
    <w:p>
      <w:pPr>
        <w:pStyle w:val="ListParagraph"/>
        <w:numPr>
          <w:ilvl w:val="1"/>
          <w:numId w:val="2"/>
        </w:numPr>
        <w:tabs>
          <w:tab w:pos="1158" w:val="left" w:leader="none"/>
          <w:tab w:pos="1159" w:val="left" w:leader="none"/>
        </w:tabs>
        <w:spacing w:line="240" w:lineRule="auto" w:before="102" w:after="0"/>
        <w:ind w:left="1158" w:right="0" w:hanging="601"/>
        <w:jc w:val="left"/>
        <w:rPr>
          <w:sz w:val="22"/>
        </w:rPr>
      </w:pPr>
      <w:r>
        <w:rPr>
          <w:color w:val="231F20"/>
          <w:sz w:val="22"/>
        </w:rPr>
        <w:t>承包人提前工期</w:t>
      </w:r>
    </w:p>
    <w:p>
      <w:pPr>
        <w:pStyle w:val="BodyText"/>
        <w:spacing w:line="304" w:lineRule="auto"/>
        <w:ind w:right="214" w:firstLine="440"/>
        <w:jc w:val="both"/>
      </w:pPr>
      <w:r>
        <w:rPr>
          <w:color w:val="231F20"/>
        </w:rPr>
        <w:t>承包人征得发包人同意后，在保证工程质量的前提下，若能比合同规定的完工日期提前完工时，则应由监理人核实提前天数，并由发包人按专用合同条款的规定向承包人支付提前完工奖金。</w:t>
      </w:r>
    </w:p>
    <w:p>
      <w:pPr>
        <w:spacing w:after="0" w:line="304" w:lineRule="auto"/>
        <w:jc w:val="both"/>
        <w:sectPr>
          <w:pgSz w:w="11910" w:h="16840"/>
          <w:pgMar w:header="0" w:footer="832" w:top="1580" w:bottom="1020" w:left="1300" w:right="1200"/>
        </w:sectPr>
      </w:pPr>
    </w:p>
    <w:p>
      <w:pPr>
        <w:pStyle w:val="ListParagraph"/>
        <w:numPr>
          <w:ilvl w:val="1"/>
          <w:numId w:val="2"/>
        </w:numPr>
        <w:tabs>
          <w:tab w:pos="1158" w:val="left" w:leader="none"/>
          <w:tab w:pos="1159" w:val="left" w:leader="none"/>
        </w:tabs>
        <w:spacing w:line="240" w:lineRule="auto" w:before="24" w:after="0"/>
        <w:ind w:left="1158" w:right="0" w:hanging="601"/>
        <w:jc w:val="left"/>
        <w:rPr>
          <w:sz w:val="22"/>
        </w:rPr>
      </w:pPr>
      <w:r>
        <w:rPr>
          <w:color w:val="231F20"/>
          <w:sz w:val="22"/>
        </w:rPr>
        <w:t>发包人要求提前工期</w:t>
      </w:r>
    </w:p>
    <w:p>
      <w:pPr>
        <w:pStyle w:val="BodyText"/>
        <w:spacing w:line="304" w:lineRule="auto"/>
        <w:ind w:right="214" w:firstLine="440"/>
        <w:jc w:val="both"/>
      </w:pPr>
      <w:r>
        <w:rPr>
          <w:color w:val="231F20"/>
        </w:rPr>
        <w:t>发包人要求承包人提前合同规定的完工日期时，由监理人与承包人共同协商采取赶工措施和修订合同进度计划，并由发包人和承包人按成本加奖金的办法签订提前完工协议。其协议内容应包括：</w:t>
      </w:r>
    </w:p>
    <w:p>
      <w:pPr>
        <w:pStyle w:val="BodyText"/>
        <w:spacing w:before="21"/>
        <w:ind w:left="447"/>
      </w:pPr>
      <w:r>
        <w:rPr>
          <w:color w:val="231F20"/>
        </w:rPr>
        <w:t>（ 1）提前的时间和修订后的进度计划。</w:t>
      </w:r>
    </w:p>
    <w:p>
      <w:pPr>
        <w:pStyle w:val="BodyText"/>
        <w:ind w:left="447"/>
      </w:pPr>
      <w:r>
        <w:rPr>
          <w:color w:val="231F20"/>
        </w:rPr>
        <w:t>（ 2）承包人的赶工措施。</w:t>
      </w:r>
    </w:p>
    <w:p>
      <w:pPr>
        <w:pStyle w:val="BodyText"/>
        <w:ind w:left="447"/>
      </w:pPr>
      <w:r>
        <w:rPr>
          <w:color w:val="231F20"/>
        </w:rPr>
        <w:t>（ 3）发包人为赶工提供的条件。</w:t>
      </w:r>
    </w:p>
    <w:p>
      <w:pPr>
        <w:pStyle w:val="BodyText"/>
        <w:ind w:left="447"/>
      </w:pPr>
      <w:r>
        <w:rPr>
          <w:color w:val="231F20"/>
        </w:rPr>
        <w:t>（ 4）赶工费用和奖金。</w:t>
      </w:r>
    </w:p>
    <w:p>
      <w:pPr>
        <w:pStyle w:val="BodyText"/>
        <w:spacing w:before="13"/>
        <w:ind w:left="0"/>
        <w:rPr>
          <w:sz w:val="15"/>
        </w:rPr>
      </w:pPr>
    </w:p>
    <w:p>
      <w:pPr>
        <w:pStyle w:val="Heading2"/>
        <w:spacing w:before="1"/>
      </w:pPr>
      <w:r>
        <w:rPr>
          <w:color w:val="231F20"/>
        </w:rPr>
        <w:t>十三、工程质量</w:t>
      </w:r>
    </w:p>
    <w:p>
      <w:pPr>
        <w:pStyle w:val="ListParagraph"/>
        <w:numPr>
          <w:ilvl w:val="0"/>
          <w:numId w:val="2"/>
        </w:numPr>
        <w:tabs>
          <w:tab w:pos="1021" w:val="left" w:leader="none"/>
          <w:tab w:pos="1022" w:val="left" w:leader="none"/>
        </w:tabs>
        <w:spacing w:line="240" w:lineRule="auto" w:before="229" w:after="0"/>
        <w:ind w:left="1021" w:right="0" w:hanging="464"/>
        <w:jc w:val="left"/>
        <w:rPr>
          <w:rFonts w:ascii="方正黑体_GBK" w:eastAsia="方正黑体_GBK" w:hint="eastAsia"/>
          <w:sz w:val="22"/>
        </w:rPr>
      </w:pPr>
      <w:r>
        <w:rPr>
          <w:rFonts w:ascii="方正黑体_GBK" w:eastAsia="方正黑体_GBK" w:hint="eastAsia"/>
          <w:color w:val="231F20"/>
          <w:sz w:val="22"/>
        </w:rPr>
        <w:t>质量检查的职责和权力</w:t>
      </w:r>
    </w:p>
    <w:p>
      <w:pPr>
        <w:pStyle w:val="ListParagraph"/>
        <w:numPr>
          <w:ilvl w:val="1"/>
          <w:numId w:val="2"/>
        </w:numPr>
        <w:tabs>
          <w:tab w:pos="1158" w:val="left" w:leader="none"/>
          <w:tab w:pos="1159" w:val="left" w:leader="none"/>
        </w:tabs>
        <w:spacing w:line="240" w:lineRule="auto" w:before="101" w:after="0"/>
        <w:ind w:left="1158" w:right="0" w:hanging="601"/>
        <w:jc w:val="left"/>
        <w:rPr>
          <w:sz w:val="22"/>
        </w:rPr>
      </w:pPr>
      <w:r>
        <w:rPr>
          <w:color w:val="231F20"/>
          <w:sz w:val="22"/>
        </w:rPr>
        <w:t>承包人的质量管理</w:t>
      </w:r>
    </w:p>
    <w:p>
      <w:pPr>
        <w:pStyle w:val="BodyText"/>
        <w:spacing w:line="304" w:lineRule="auto" w:before="88"/>
        <w:ind w:right="213" w:firstLine="440"/>
        <w:jc w:val="both"/>
      </w:pPr>
      <w:r>
        <w:rPr>
          <w:color w:val="231F20"/>
        </w:rPr>
        <w:t>承包人应建立和健全质量保证体系，在工地设置专门的质量检查机构，配备专职的质量检查人员，建立完善的质量检查制度。承包人应在接到开工通知后的 84 天内，向监理人报送一份内容包括质量检查机构的组织和岗位责任及质检人员的组成、质量检查程序和实施细则等的工程质量保证措施报告，报送监理人审批。</w:t>
      </w:r>
    </w:p>
    <w:p>
      <w:pPr>
        <w:pStyle w:val="ListParagraph"/>
        <w:numPr>
          <w:ilvl w:val="1"/>
          <w:numId w:val="2"/>
        </w:numPr>
        <w:tabs>
          <w:tab w:pos="1158" w:val="left" w:leader="none"/>
          <w:tab w:pos="1159" w:val="left" w:leader="none"/>
        </w:tabs>
        <w:spacing w:line="240" w:lineRule="auto" w:before="20" w:after="0"/>
        <w:ind w:left="1158" w:right="0" w:hanging="601"/>
        <w:jc w:val="left"/>
        <w:rPr>
          <w:sz w:val="22"/>
        </w:rPr>
      </w:pPr>
      <w:r>
        <w:rPr>
          <w:color w:val="231F20"/>
          <w:sz w:val="22"/>
        </w:rPr>
        <w:t>承包人的质量检查职责</w:t>
      </w:r>
    </w:p>
    <w:p>
      <w:pPr>
        <w:pStyle w:val="BodyText"/>
        <w:spacing w:line="304" w:lineRule="auto"/>
        <w:ind w:right="216" w:firstLine="440"/>
        <w:jc w:val="both"/>
      </w:pPr>
      <w:r>
        <w:rPr>
          <w:color w:val="231F20"/>
        </w:rPr>
        <w:t>承包人应严格按《技术条款》的规定和监理人的指示，对工程使用的材料和工程设备以及工程的所有部位及其施工工艺，进行全过程的质量检查，详细作好质量检查记录，编制工程质量报表，定期提交监理人审查。</w:t>
      </w:r>
    </w:p>
    <w:p>
      <w:pPr>
        <w:pStyle w:val="ListParagraph"/>
        <w:numPr>
          <w:ilvl w:val="1"/>
          <w:numId w:val="2"/>
        </w:numPr>
        <w:tabs>
          <w:tab w:pos="1158" w:val="left" w:leader="none"/>
          <w:tab w:pos="1159" w:val="left" w:leader="none"/>
        </w:tabs>
        <w:spacing w:line="240" w:lineRule="auto" w:before="21" w:after="0"/>
        <w:ind w:left="1158" w:right="0" w:hanging="601"/>
        <w:jc w:val="left"/>
        <w:rPr>
          <w:sz w:val="22"/>
        </w:rPr>
      </w:pPr>
      <w:r>
        <w:rPr>
          <w:color w:val="231F20"/>
          <w:sz w:val="22"/>
        </w:rPr>
        <w:t>监理人的质量检查权力</w:t>
      </w:r>
    </w:p>
    <w:p>
      <w:pPr>
        <w:pStyle w:val="BodyText"/>
        <w:spacing w:line="304" w:lineRule="auto"/>
        <w:ind w:right="93" w:firstLine="440"/>
      </w:pPr>
      <w:r>
        <w:rPr>
          <w:color w:val="231F20"/>
        </w:rPr>
        <w:t>监理人有权对全部工程的所有部位及其任何一项工艺、材料和工程设备进行检查和检验。承包人应为监理人的质量检查和检验提供一切方便，包括监理人到施工现场或制造、加工地点或合同规定的其他地方进行察看和查阅施工记录。承包人还应按监理人指示，进行现场取样试验、工程复核测量和设备性能检测，提供试验样品、试验报告和测量成果以及监理人要求进行的其他工作。监理人的检查和检验不免除承包人按合同规定应负的责任。</w:t>
      </w:r>
    </w:p>
    <w:p>
      <w:pPr>
        <w:pStyle w:val="ListParagraph"/>
        <w:numPr>
          <w:ilvl w:val="0"/>
          <w:numId w:val="2"/>
        </w:numPr>
        <w:tabs>
          <w:tab w:pos="1021" w:val="left" w:leader="none"/>
          <w:tab w:pos="1022" w:val="left" w:leader="none"/>
        </w:tabs>
        <w:spacing w:line="240" w:lineRule="auto" w:before="15" w:after="0"/>
        <w:ind w:left="1021" w:right="0" w:hanging="464"/>
        <w:jc w:val="left"/>
        <w:rPr>
          <w:rFonts w:ascii="方正黑体_GBK" w:eastAsia="方正黑体_GBK" w:hint="eastAsia"/>
          <w:sz w:val="22"/>
        </w:rPr>
      </w:pPr>
      <w:r>
        <w:rPr>
          <w:rFonts w:ascii="方正黑体_GBK" w:eastAsia="方正黑体_GBK" w:hint="eastAsia"/>
          <w:color w:val="231F20"/>
          <w:sz w:val="22"/>
        </w:rPr>
        <w:t>材料和工程设备的检查和检验</w:t>
      </w:r>
    </w:p>
    <w:p>
      <w:pPr>
        <w:pStyle w:val="ListParagraph"/>
        <w:numPr>
          <w:ilvl w:val="1"/>
          <w:numId w:val="2"/>
        </w:numPr>
        <w:tabs>
          <w:tab w:pos="1158" w:val="left" w:leader="none"/>
          <w:tab w:pos="1159" w:val="left" w:leader="none"/>
        </w:tabs>
        <w:spacing w:line="240" w:lineRule="auto" w:before="102" w:after="0"/>
        <w:ind w:left="1158" w:right="0" w:hanging="601"/>
        <w:jc w:val="left"/>
        <w:rPr>
          <w:sz w:val="22"/>
        </w:rPr>
      </w:pPr>
      <w:r>
        <w:rPr>
          <w:color w:val="231F20"/>
          <w:sz w:val="22"/>
        </w:rPr>
        <w:t>材料和工程设备的检验和交货验收</w:t>
      </w:r>
    </w:p>
    <w:p>
      <w:pPr>
        <w:pStyle w:val="BodyText"/>
        <w:spacing w:line="304" w:lineRule="auto"/>
        <w:ind w:right="214" w:firstLine="330"/>
        <w:jc w:val="both"/>
      </w:pPr>
      <w:r>
        <w:rPr>
          <w:color w:val="231F20"/>
        </w:rPr>
        <w:t>（ 1）承包人负责采购的材料和工程设备，应由承包人会同监理人进行检验和交货验收，验收时应同时查验材质证明和产品合格证书。承包人还应按《技术条款》的规定进行材料的抽样检验和工程设备的检验测试，并将检验结果提交监理人，其所需费用由承包人承担。</w:t>
      </w:r>
    </w:p>
    <w:p>
      <w:pPr>
        <w:pStyle w:val="BodyText"/>
        <w:spacing w:line="304" w:lineRule="auto" w:before="21"/>
        <w:ind w:right="93" w:firstLine="440"/>
      </w:pPr>
      <w:r>
        <w:rPr>
          <w:color w:val="231F20"/>
        </w:rPr>
        <w:t>监理人应按合同规定参加交货验收，承包人应为监理人进行交货验收的监督检查提供一切方便。监理人参加交货验收不免除承包人在检验和交货验收中应负的责任。</w:t>
      </w:r>
    </w:p>
    <w:p>
      <w:pPr>
        <w:spacing w:after="0" w:line="304" w:lineRule="auto"/>
        <w:sectPr>
          <w:pgSz w:w="11910" w:h="16840"/>
          <w:pgMar w:header="0" w:footer="832" w:top="1580" w:bottom="1020" w:left="1300" w:right="1200"/>
        </w:sectPr>
      </w:pPr>
    </w:p>
    <w:p>
      <w:pPr>
        <w:pStyle w:val="BodyText"/>
        <w:spacing w:line="304" w:lineRule="auto" w:before="24"/>
        <w:ind w:right="114" w:firstLine="330"/>
        <w:jc w:val="both"/>
      </w:pPr>
      <w:r>
        <w:rPr>
          <w:color w:val="231F20"/>
        </w:rPr>
        <w:t>（ 2）发包人负责采购的工程设备，应由发包人和承包人在合同规定的交货地点共同进行交货验收，并由发包人正式移交给承包人。在验收时，承包人应按监理人指示进行工程设备的检验测试，并将检验结果提交监理人，其所需费用由发包人承担。工程设备安装后，若发现工程设备存在缺陷时，应由监理人与承包人共同查找原因，如属设备制造不良引起的缺陷应由发包人负责；如属承包人运输和保管不慎或安装不良引起的损坏应由承包人负责。</w:t>
      </w:r>
    </w:p>
    <w:p>
      <w:pPr>
        <w:pStyle w:val="ListParagraph"/>
        <w:numPr>
          <w:ilvl w:val="1"/>
          <w:numId w:val="2"/>
        </w:numPr>
        <w:tabs>
          <w:tab w:pos="1158" w:val="left" w:leader="none"/>
          <w:tab w:pos="1159" w:val="left" w:leader="none"/>
        </w:tabs>
        <w:spacing w:line="240" w:lineRule="auto" w:before="21" w:after="0"/>
        <w:ind w:left="1158" w:right="0" w:hanging="601"/>
        <w:jc w:val="left"/>
        <w:rPr>
          <w:sz w:val="22"/>
        </w:rPr>
      </w:pPr>
      <w:r>
        <w:rPr>
          <w:color w:val="231F20"/>
          <w:sz w:val="22"/>
        </w:rPr>
        <w:t>监理人进行检查和检验</w:t>
      </w:r>
    </w:p>
    <w:p>
      <w:pPr>
        <w:pStyle w:val="BodyText"/>
        <w:spacing w:line="304" w:lineRule="auto"/>
        <w:ind w:right="114" w:firstLine="440"/>
        <w:jc w:val="both"/>
      </w:pPr>
      <w:r>
        <w:rPr>
          <w:color w:val="231F20"/>
        </w:rPr>
        <w:t>对合同规定的材料和工程设备，应由监理人与承包人按商定的时间和地点共同进行检查和检验。若监理人未按商定的时间派员到场参加检查或检验，除监理人另有指示外，承包人可自行检查或检验，并立即将检查或检验结果提交监理人。除合同另有规定外，监理人应在事后确认承包人提交的检查或检验结果，若监理人对承包人自行检查和检验的结果有疑问时，可按第</w:t>
      </w:r>
    </w:p>
    <w:p>
      <w:pPr>
        <w:pStyle w:val="BodyText"/>
        <w:spacing w:line="304" w:lineRule="auto" w:before="20"/>
        <w:ind w:right="109"/>
        <w:jc w:val="both"/>
      </w:pPr>
      <w:r>
        <w:rPr>
          <w:color w:val="231F20"/>
        </w:rPr>
        <w:t>22.3 款的规定进行抽样检验。检验结果证明该材料或工程设备质量不符合合同要求，则应由承</w:t>
      </w:r>
      <w:r>
        <w:rPr>
          <w:color w:val="231F20"/>
          <w:spacing w:val="-5"/>
        </w:rPr>
        <w:t>包人承担抽样检验的费用；检验结果证明该材料或工程设备质量符合合同要求，则应由发包人承担抽样检验的费用。</w:t>
      </w:r>
    </w:p>
    <w:p>
      <w:pPr>
        <w:pStyle w:val="ListParagraph"/>
        <w:numPr>
          <w:ilvl w:val="1"/>
          <w:numId w:val="3"/>
        </w:numPr>
        <w:tabs>
          <w:tab w:pos="1158" w:val="left" w:leader="none"/>
          <w:tab w:pos="1159" w:val="left" w:leader="none"/>
        </w:tabs>
        <w:spacing w:line="240" w:lineRule="auto" w:before="20" w:after="0"/>
        <w:ind w:left="1158" w:right="0" w:hanging="601"/>
        <w:jc w:val="left"/>
        <w:rPr>
          <w:sz w:val="22"/>
        </w:rPr>
      </w:pPr>
      <w:r>
        <w:rPr>
          <w:color w:val="231F20"/>
          <w:sz w:val="22"/>
        </w:rPr>
        <w:t>未按规定进行检查和检验</w:t>
      </w:r>
    </w:p>
    <w:p>
      <w:pPr>
        <w:pStyle w:val="BodyText"/>
        <w:spacing w:line="304" w:lineRule="auto"/>
        <w:ind w:firstLine="440"/>
      </w:pPr>
      <w:r>
        <w:rPr>
          <w:color w:val="231F20"/>
        </w:rPr>
        <w:t>承包人未按合同规定对材料和工程设备进行检查和检验，监理人有权指示承包人按合同规定补作检查和检验，承包人应遵照执行，并应承担所需的检查和检验费用和工期延误责任。</w:t>
      </w:r>
    </w:p>
    <w:p>
      <w:pPr>
        <w:pStyle w:val="ListParagraph"/>
        <w:numPr>
          <w:ilvl w:val="1"/>
          <w:numId w:val="3"/>
        </w:numPr>
        <w:tabs>
          <w:tab w:pos="1158" w:val="left" w:leader="none"/>
          <w:tab w:pos="1159" w:val="left" w:leader="none"/>
        </w:tabs>
        <w:spacing w:line="240" w:lineRule="auto" w:before="21" w:after="0"/>
        <w:ind w:left="1158" w:right="0" w:hanging="601"/>
        <w:jc w:val="left"/>
        <w:rPr>
          <w:sz w:val="22"/>
        </w:rPr>
      </w:pPr>
      <w:r>
        <w:rPr>
          <w:color w:val="231F20"/>
          <w:sz w:val="22"/>
        </w:rPr>
        <w:t>不合格的材料和工程设备</w:t>
      </w:r>
    </w:p>
    <w:p>
      <w:pPr>
        <w:pStyle w:val="BodyText"/>
        <w:spacing w:line="304" w:lineRule="auto"/>
        <w:ind w:right="108" w:firstLine="330"/>
        <w:jc w:val="both"/>
      </w:pPr>
      <w:r>
        <w:rPr>
          <w:color w:val="231F20"/>
        </w:rPr>
        <w:t>（ 1）承包人使用了不合格的材料或工程设备，监理人有权按第 26.2 款规定指示承包人予以处理，由此造成的损失由承包人负责。</w:t>
      </w:r>
    </w:p>
    <w:p>
      <w:pPr>
        <w:pStyle w:val="BodyText"/>
        <w:spacing w:line="304" w:lineRule="auto" w:before="21"/>
        <w:ind w:right="115" w:firstLine="330"/>
        <w:jc w:val="both"/>
      </w:pPr>
      <w:r>
        <w:rPr>
          <w:color w:val="231F20"/>
        </w:rPr>
        <w:t>（ 2）监理人的检查或检验结果表明承包人提供的材料或工程设备不符合合同要求时，监理人可以拒绝验收，并立即通知承包人，承包人除应立即停止使用外，还应与监理人共同研究补救措施，由此增加的费用和工期延误责任由承包人承担。</w:t>
      </w:r>
    </w:p>
    <w:p>
      <w:pPr>
        <w:pStyle w:val="BodyText"/>
        <w:spacing w:line="304" w:lineRule="auto" w:before="21"/>
        <w:ind w:right="115" w:firstLine="330"/>
        <w:jc w:val="both"/>
      </w:pPr>
      <w:r>
        <w:rPr>
          <w:color w:val="231F20"/>
        </w:rPr>
        <w:t>（ 3）若按第 23.1 款（ 2）项规定的检查或检验结果表明，发包人提供的工程设备不符合合同要求，承包人有权拒绝接收，并可要求发包人予以更换，由此增加的费用和工期延误责任由发包人承担。</w:t>
      </w:r>
    </w:p>
    <w:p>
      <w:pPr>
        <w:pStyle w:val="ListParagraph"/>
        <w:numPr>
          <w:ilvl w:val="1"/>
          <w:numId w:val="3"/>
        </w:numPr>
        <w:tabs>
          <w:tab w:pos="1158" w:val="left" w:leader="none"/>
          <w:tab w:pos="1159" w:val="left" w:leader="none"/>
        </w:tabs>
        <w:spacing w:line="240" w:lineRule="auto" w:before="21" w:after="0"/>
        <w:ind w:left="1158" w:right="0" w:hanging="601"/>
        <w:jc w:val="left"/>
        <w:rPr>
          <w:sz w:val="22"/>
        </w:rPr>
      </w:pPr>
      <w:r>
        <w:rPr>
          <w:color w:val="231F20"/>
          <w:sz w:val="22"/>
        </w:rPr>
        <w:t>额外检验和重新检验</w:t>
      </w:r>
    </w:p>
    <w:p>
      <w:pPr>
        <w:pStyle w:val="BodyText"/>
        <w:spacing w:line="304" w:lineRule="auto"/>
        <w:ind w:right="114" w:firstLine="330"/>
        <w:jc w:val="both"/>
      </w:pPr>
      <w:r>
        <w:rPr>
          <w:color w:val="231F20"/>
        </w:rPr>
        <w:t>（ 1）若监理人要求承包人对某项材料和工程设备进行的检查和检验在合同中未作规定，监理人可以指示承包人增加额外检验，承包人应遵照执行，但应由发包人承担额外检验的费用和工期延误责任。</w:t>
      </w:r>
    </w:p>
    <w:p>
      <w:pPr>
        <w:pStyle w:val="BodyText"/>
        <w:spacing w:line="304" w:lineRule="auto" w:before="20"/>
        <w:ind w:right="109" w:firstLine="330"/>
        <w:jc w:val="both"/>
      </w:pPr>
      <w:r>
        <w:rPr>
          <w:color w:val="231F20"/>
        </w:rPr>
        <w:t>（ 2）不论何种原因，若监理人对以往的检验结果有疑问时，可以指示承包人重新检验，承包人不得拒绝。若重新检验结果证明这些材料和工程设备不符合合同要求，则应由承包人承担</w:t>
      </w:r>
      <w:r>
        <w:rPr>
          <w:color w:val="231F20"/>
          <w:spacing w:val="-4"/>
        </w:rPr>
        <w:t>重新检验的费用和工期延误责任；若重新检验结果证明这些材料和工程设备符合合同要求，则应由发包人承担重新检验的费用和工期延误责任。</w:t>
      </w:r>
    </w:p>
    <w:p>
      <w:pPr>
        <w:spacing w:after="0" w:line="304" w:lineRule="auto"/>
        <w:jc w:val="both"/>
        <w:sectPr>
          <w:pgSz w:w="11910" w:h="16840"/>
          <w:pgMar w:header="0" w:footer="832" w:top="1580" w:bottom="1020" w:left="1300" w:right="1300"/>
        </w:sectPr>
      </w:pPr>
    </w:p>
    <w:p>
      <w:pPr>
        <w:pStyle w:val="ListParagraph"/>
        <w:numPr>
          <w:ilvl w:val="1"/>
          <w:numId w:val="3"/>
        </w:numPr>
        <w:tabs>
          <w:tab w:pos="1158" w:val="left" w:leader="none"/>
          <w:tab w:pos="1159" w:val="left" w:leader="none"/>
        </w:tabs>
        <w:spacing w:line="240" w:lineRule="auto" w:before="24" w:after="0"/>
        <w:ind w:left="1158" w:right="0" w:hanging="601"/>
        <w:jc w:val="left"/>
        <w:rPr>
          <w:sz w:val="22"/>
        </w:rPr>
      </w:pPr>
      <w:r>
        <w:rPr>
          <w:color w:val="231F20"/>
          <w:sz w:val="22"/>
        </w:rPr>
        <w:t>承包人不进行检查和检验的补救办法</w:t>
      </w:r>
    </w:p>
    <w:p>
      <w:pPr>
        <w:pStyle w:val="BodyText"/>
        <w:spacing w:line="304" w:lineRule="auto"/>
        <w:ind w:right="127" w:firstLine="440"/>
        <w:jc w:val="both"/>
      </w:pPr>
      <w:r>
        <w:rPr>
          <w:color w:val="231F20"/>
        </w:rPr>
        <w:t>承包人不按第 23.3 款和第 23.5 款的规定完成监理人指示的检查和检验工作，监理人可以指派自己的人员或委托其他有资质的检验机构或人员进行检查和检验，承包人不得拒绝，并应提供一切方便。由此增加的费用和工期延误责任由承包人承担。</w:t>
      </w:r>
    </w:p>
    <w:p>
      <w:pPr>
        <w:pStyle w:val="ListParagraph"/>
        <w:numPr>
          <w:ilvl w:val="0"/>
          <w:numId w:val="3"/>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现场试验</w:t>
      </w:r>
    </w:p>
    <w:p>
      <w:pPr>
        <w:pStyle w:val="ListParagraph"/>
        <w:numPr>
          <w:ilvl w:val="1"/>
          <w:numId w:val="4"/>
        </w:numPr>
        <w:tabs>
          <w:tab w:pos="1158" w:val="left" w:leader="none"/>
          <w:tab w:pos="1159" w:val="left" w:leader="none"/>
        </w:tabs>
        <w:spacing w:line="240" w:lineRule="auto" w:before="102" w:after="0"/>
        <w:ind w:left="1158" w:right="0" w:hanging="601"/>
        <w:jc w:val="left"/>
        <w:rPr>
          <w:sz w:val="22"/>
        </w:rPr>
      </w:pPr>
      <w:r>
        <w:rPr>
          <w:color w:val="231F20"/>
          <w:sz w:val="22"/>
        </w:rPr>
        <w:t>现场材料试验</w:t>
      </w:r>
    </w:p>
    <w:p>
      <w:pPr>
        <w:pStyle w:val="BodyText"/>
        <w:spacing w:line="304" w:lineRule="auto"/>
        <w:ind w:right="124" w:firstLine="440"/>
        <w:jc w:val="both"/>
      </w:pPr>
      <w:r>
        <w:rPr>
          <w:color w:val="231F20"/>
          <w:spacing w:val="-7"/>
        </w:rPr>
        <w:t>承包人应在工地建立自己的试验室，配备足够的人员和设备，按合同规定和监理人的指示进</w:t>
      </w:r>
      <w:r>
        <w:rPr>
          <w:color w:val="231F20"/>
          <w:spacing w:val="-6"/>
        </w:rPr>
        <w:t>行各项材料试验，并为监理人进行质量检查和检验提供必要的试验资料和原始记录。监理人在质</w:t>
      </w:r>
      <w:r>
        <w:rPr>
          <w:color w:val="231F20"/>
          <w:spacing w:val="-8"/>
        </w:rPr>
        <w:t>量检查和检验过程中若需抽样试验，所需试件应由承包人提供，监理人可以使用承包人的试验设</w:t>
      </w:r>
      <w:r>
        <w:rPr>
          <w:color w:val="231F20"/>
          <w:spacing w:val="-9"/>
        </w:rPr>
        <w:t>备，承包人应予协助。上述试验所需提供的试件和监理人使用试验设备所需的费用由承包人承担。</w:t>
      </w:r>
    </w:p>
    <w:p>
      <w:pPr>
        <w:pStyle w:val="ListParagraph"/>
        <w:numPr>
          <w:ilvl w:val="1"/>
          <w:numId w:val="4"/>
        </w:numPr>
        <w:tabs>
          <w:tab w:pos="1158" w:val="left" w:leader="none"/>
          <w:tab w:pos="1159" w:val="left" w:leader="none"/>
        </w:tabs>
        <w:spacing w:line="240" w:lineRule="auto" w:before="21" w:after="0"/>
        <w:ind w:left="1158" w:right="0" w:hanging="601"/>
        <w:jc w:val="left"/>
        <w:rPr>
          <w:sz w:val="22"/>
        </w:rPr>
      </w:pPr>
      <w:r>
        <w:rPr>
          <w:color w:val="231F20"/>
          <w:sz w:val="22"/>
        </w:rPr>
        <w:t>现场工艺试验</w:t>
      </w:r>
    </w:p>
    <w:p>
      <w:pPr>
        <w:pStyle w:val="BodyText"/>
        <w:spacing w:line="304" w:lineRule="auto"/>
        <w:ind w:right="136" w:firstLine="440"/>
        <w:jc w:val="both"/>
      </w:pPr>
      <w:r>
        <w:rPr>
          <w:color w:val="231F20"/>
        </w:rPr>
        <w:t>承包人应按合同规定和监理人的指示进行现场工艺试验，除合同另有规定外，其所需费用由承包人承担。在施工过程中，若监理人要求承包人进行额外的现场工艺试验时，承包人应遵照执行，但所需费用由发包人承担，影响的工期应予以合理补偿。</w:t>
      </w:r>
    </w:p>
    <w:p>
      <w:pPr>
        <w:pStyle w:val="ListParagraph"/>
        <w:numPr>
          <w:ilvl w:val="0"/>
          <w:numId w:val="4"/>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隐蔽工程和工程的隐蔽部位</w:t>
      </w:r>
    </w:p>
    <w:p>
      <w:pPr>
        <w:pStyle w:val="ListParagraph"/>
        <w:numPr>
          <w:ilvl w:val="1"/>
          <w:numId w:val="4"/>
        </w:numPr>
        <w:tabs>
          <w:tab w:pos="1158" w:val="left" w:leader="none"/>
          <w:tab w:pos="1159" w:val="left" w:leader="none"/>
        </w:tabs>
        <w:spacing w:line="240" w:lineRule="auto" w:before="102" w:after="0"/>
        <w:ind w:left="1158" w:right="0" w:hanging="601"/>
        <w:jc w:val="left"/>
        <w:rPr>
          <w:sz w:val="22"/>
        </w:rPr>
      </w:pPr>
      <w:r>
        <w:rPr>
          <w:color w:val="231F20"/>
          <w:sz w:val="22"/>
        </w:rPr>
        <w:t>覆盖前的检查</w:t>
      </w:r>
    </w:p>
    <w:p>
      <w:pPr>
        <w:pStyle w:val="BodyText"/>
        <w:spacing w:line="304" w:lineRule="auto"/>
        <w:ind w:right="133" w:firstLine="440"/>
        <w:jc w:val="both"/>
      </w:pPr>
      <w:r>
        <w:rPr>
          <w:color w:val="231F20"/>
        </w:rPr>
        <w:t>隐蔽工程和工程的隐蔽部位经承包人的自检确认具备覆盖条件后的 24 小时内，承包人应通知监理人进行检查，通知应按规定的格式说明检查地点、内容和检查时间，并附有承包人自检记录和必要的检查资料。监理人应按通知约定的时间派员到场进行检查，在监理人员确认质量符合《技术条款》要求，并在检查记录上签字后，承包人才能进行覆盖。</w:t>
      </w:r>
    </w:p>
    <w:p>
      <w:pPr>
        <w:pStyle w:val="ListParagraph"/>
        <w:numPr>
          <w:ilvl w:val="1"/>
          <w:numId w:val="4"/>
        </w:numPr>
        <w:tabs>
          <w:tab w:pos="1158" w:val="left" w:leader="none"/>
          <w:tab w:pos="1159" w:val="left" w:leader="none"/>
        </w:tabs>
        <w:spacing w:line="240" w:lineRule="auto" w:before="21" w:after="0"/>
        <w:ind w:left="1158" w:right="0" w:hanging="601"/>
        <w:jc w:val="left"/>
        <w:rPr>
          <w:sz w:val="22"/>
        </w:rPr>
      </w:pPr>
      <w:r>
        <w:rPr>
          <w:color w:val="231F20"/>
          <w:sz w:val="22"/>
        </w:rPr>
        <w:t>监理人未到场检查</w:t>
      </w:r>
    </w:p>
    <w:p>
      <w:pPr>
        <w:pStyle w:val="BodyText"/>
        <w:spacing w:line="304" w:lineRule="auto"/>
        <w:ind w:right="69" w:firstLine="440"/>
      </w:pPr>
      <w:r>
        <w:rPr>
          <w:color w:val="231F20"/>
          <w:spacing w:val="-12"/>
        </w:rPr>
        <w:t>监理人应在约定的时间内到场进行隐蔽工程和工程隐蔽部位的检查，不得无故缺席或拖延。若</w:t>
      </w:r>
      <w:r>
        <w:rPr>
          <w:color w:val="231F20"/>
          <w:spacing w:val="-14"/>
        </w:rPr>
        <w:t>监理人未及时派员到场检查，造成工期延误，承包人有权要求延长工期和赔偿其停工、窝工等损失。</w:t>
      </w:r>
    </w:p>
    <w:p>
      <w:pPr>
        <w:pStyle w:val="ListParagraph"/>
        <w:numPr>
          <w:ilvl w:val="1"/>
          <w:numId w:val="4"/>
        </w:numPr>
        <w:tabs>
          <w:tab w:pos="1158" w:val="left" w:leader="none"/>
          <w:tab w:pos="1159" w:val="left" w:leader="none"/>
        </w:tabs>
        <w:spacing w:line="240" w:lineRule="auto" w:before="21" w:after="0"/>
        <w:ind w:left="1158" w:right="0" w:hanging="601"/>
        <w:jc w:val="left"/>
        <w:rPr>
          <w:sz w:val="22"/>
        </w:rPr>
      </w:pPr>
      <w:r>
        <w:rPr>
          <w:color w:val="231F20"/>
          <w:sz w:val="22"/>
        </w:rPr>
        <w:t>重新检查</w:t>
      </w:r>
    </w:p>
    <w:p>
      <w:pPr>
        <w:pStyle w:val="BodyText"/>
        <w:spacing w:line="304" w:lineRule="auto"/>
        <w:ind w:right="135" w:firstLine="440"/>
        <w:jc w:val="both"/>
      </w:pPr>
      <w:r>
        <w:rPr>
          <w:color w:val="231F20"/>
        </w:rPr>
        <w:t>对隐蔽工程或工程的隐蔽部位按第 25.1 款规定进行检查并覆盖后，若监理人事后对质量有怀疑，可要求承包人对已覆盖的部位进行钻孔探测以至揭开重新检验，承包人应遵照执行。其重新检查所需增加的费用和工期延误，按第 23.5 款（ 2）项规定的相同原则划分责任。</w:t>
      </w:r>
    </w:p>
    <w:p>
      <w:pPr>
        <w:pStyle w:val="ListParagraph"/>
        <w:numPr>
          <w:ilvl w:val="1"/>
          <w:numId w:val="4"/>
        </w:numPr>
        <w:tabs>
          <w:tab w:pos="1136" w:val="left" w:leader="none"/>
          <w:tab w:pos="1137" w:val="left" w:leader="none"/>
        </w:tabs>
        <w:spacing w:line="240" w:lineRule="auto" w:before="20" w:after="0"/>
        <w:ind w:left="1136" w:right="0" w:hanging="579"/>
        <w:jc w:val="left"/>
        <w:rPr>
          <w:sz w:val="22"/>
        </w:rPr>
      </w:pPr>
      <w:r>
        <w:rPr>
          <w:color w:val="231F20"/>
          <w:spacing w:val="-5"/>
          <w:sz w:val="22"/>
        </w:rPr>
        <w:t>承包人私自覆盖</w:t>
      </w:r>
    </w:p>
    <w:p>
      <w:pPr>
        <w:pStyle w:val="BodyText"/>
        <w:spacing w:line="304" w:lineRule="auto" w:before="88"/>
        <w:ind w:right="69" w:firstLine="440"/>
      </w:pPr>
      <w:r>
        <w:rPr>
          <w:color w:val="231F20"/>
          <w:spacing w:val="-5"/>
        </w:rPr>
        <w:t>承包人未及时通知监理人到场检查，私自将隐蔽部位覆盖，监理人有权指示承包人采用钻孔探测以至揭开进行检查，由此增加的费用和工期延误责任由承包人承担。</w:t>
      </w:r>
    </w:p>
    <w:p>
      <w:pPr>
        <w:pStyle w:val="ListParagraph"/>
        <w:numPr>
          <w:ilvl w:val="0"/>
          <w:numId w:val="4"/>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不合格的工程、材料和工程设备的处理</w:t>
      </w:r>
    </w:p>
    <w:p>
      <w:pPr>
        <w:pStyle w:val="ListParagraph"/>
        <w:numPr>
          <w:ilvl w:val="1"/>
          <w:numId w:val="4"/>
        </w:numPr>
        <w:tabs>
          <w:tab w:pos="1158" w:val="left" w:leader="none"/>
          <w:tab w:pos="1159" w:val="left" w:leader="none"/>
        </w:tabs>
        <w:spacing w:line="240" w:lineRule="auto" w:before="102" w:after="0"/>
        <w:ind w:left="1158" w:right="0" w:hanging="601"/>
        <w:jc w:val="left"/>
        <w:rPr>
          <w:sz w:val="22"/>
        </w:rPr>
      </w:pPr>
      <w:r>
        <w:rPr>
          <w:color w:val="231F20"/>
          <w:sz w:val="22"/>
        </w:rPr>
        <w:t>禁止使用不合格的材料和工程设备</w:t>
      </w:r>
    </w:p>
    <w:p>
      <w:pPr>
        <w:pStyle w:val="BodyText"/>
        <w:ind w:left="557"/>
      </w:pPr>
      <w:r>
        <w:rPr>
          <w:color w:val="231F20"/>
          <w:spacing w:val="-13"/>
        </w:rPr>
        <w:t>工程使用的一切材料和工程设备，均应满足《技术条款》和施工图纸规定的等级、质量标准和</w:t>
      </w:r>
    </w:p>
    <w:p>
      <w:pPr>
        <w:spacing w:after="0"/>
        <w:sectPr>
          <w:pgSz w:w="11910" w:h="16840"/>
          <w:pgMar w:header="0" w:footer="832" w:top="1580" w:bottom="1020" w:left="1300" w:right="1280"/>
        </w:sectPr>
      </w:pPr>
    </w:p>
    <w:p>
      <w:pPr>
        <w:pStyle w:val="BodyText"/>
        <w:spacing w:line="304" w:lineRule="auto" w:before="24"/>
        <w:ind w:right="199"/>
      </w:pPr>
      <w:r>
        <w:rPr>
          <w:color w:val="231F20"/>
          <w:spacing w:val="-12"/>
        </w:rPr>
        <w:t>技术特征。监理人在工程质量的检查和检验中发现承包人使用了不合格的材料和工程设备时，可以</w:t>
      </w:r>
      <w:r>
        <w:rPr>
          <w:color w:val="231F20"/>
          <w:spacing w:val="-14"/>
        </w:rPr>
        <w:t>随时发出指示，要求承包人立即改正，并禁止在工程中继续使用这些不合格的材料和工程设备。</w:t>
      </w:r>
    </w:p>
    <w:p>
      <w:pPr>
        <w:pStyle w:val="ListParagraph"/>
        <w:numPr>
          <w:ilvl w:val="1"/>
          <w:numId w:val="4"/>
        </w:numPr>
        <w:tabs>
          <w:tab w:pos="1136" w:val="left" w:leader="none"/>
          <w:tab w:pos="1137" w:val="left" w:leader="none"/>
        </w:tabs>
        <w:spacing w:line="240" w:lineRule="auto" w:before="21" w:after="0"/>
        <w:ind w:left="1136" w:right="0" w:hanging="579"/>
        <w:jc w:val="left"/>
        <w:rPr>
          <w:sz w:val="22"/>
        </w:rPr>
      </w:pPr>
      <w:r>
        <w:rPr>
          <w:color w:val="231F20"/>
          <w:spacing w:val="-5"/>
          <w:sz w:val="22"/>
        </w:rPr>
        <w:t>不合格的工程、材料和工程设备的处理</w:t>
      </w:r>
    </w:p>
    <w:p>
      <w:pPr>
        <w:pStyle w:val="BodyText"/>
        <w:spacing w:line="304" w:lineRule="auto"/>
        <w:ind w:right="93" w:firstLine="330"/>
      </w:pPr>
      <w:r>
        <w:rPr>
          <w:color w:val="231F20"/>
          <w:spacing w:val="-2"/>
        </w:rPr>
        <w:t>（ </w:t>
      </w:r>
      <w:r>
        <w:rPr>
          <w:color w:val="231F20"/>
          <w:spacing w:val="-4"/>
        </w:rPr>
        <w:t>1）由于承包人使用了不合格材料和工程设备造成了工程损害，监理人可以随时发出指示， </w:t>
      </w:r>
      <w:r>
        <w:rPr>
          <w:color w:val="231F20"/>
          <w:spacing w:val="-5"/>
        </w:rPr>
        <w:t>要求承包人立即采取措施进行补救，直至彻底清除工程的不合格部位以及不合格的材料或工程设备，由此增加的费用和工期延误责任由承包人承担。若上述不合格的材料或工程设备系由发包人提供的，应由发包人负责更换，并承担由此增加的费用和工期延误责任。</w:t>
      </w:r>
    </w:p>
    <w:p>
      <w:pPr>
        <w:pStyle w:val="BodyText"/>
        <w:spacing w:line="304" w:lineRule="auto" w:before="20"/>
        <w:ind w:right="199" w:firstLine="330"/>
      </w:pPr>
      <w:r>
        <w:rPr>
          <w:color w:val="231F20"/>
        </w:rPr>
        <w:t>（ 2）若承包人无故拖延或拒绝执行监理人的上述指示，则发包人有权委托其他承包人执行该项指示，由此增加的费用和利润以及工期延误责任，由承包人承担。</w:t>
      </w:r>
    </w:p>
    <w:p>
      <w:pPr>
        <w:pStyle w:val="ListParagraph"/>
        <w:numPr>
          <w:ilvl w:val="0"/>
          <w:numId w:val="4"/>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测量放线</w:t>
      </w:r>
    </w:p>
    <w:p>
      <w:pPr>
        <w:pStyle w:val="ListParagraph"/>
        <w:numPr>
          <w:ilvl w:val="1"/>
          <w:numId w:val="4"/>
        </w:numPr>
        <w:tabs>
          <w:tab w:pos="1158" w:val="left" w:leader="none"/>
          <w:tab w:pos="1159" w:val="left" w:leader="none"/>
        </w:tabs>
        <w:spacing w:line="240" w:lineRule="auto" w:before="102" w:after="0"/>
        <w:ind w:left="1158" w:right="0" w:hanging="601"/>
        <w:jc w:val="left"/>
        <w:rPr>
          <w:sz w:val="22"/>
        </w:rPr>
      </w:pPr>
      <w:r>
        <w:rPr>
          <w:color w:val="231F20"/>
          <w:sz w:val="22"/>
        </w:rPr>
        <w:t>施工控制网</w:t>
      </w:r>
    </w:p>
    <w:p>
      <w:pPr>
        <w:pStyle w:val="BodyText"/>
        <w:spacing w:line="304" w:lineRule="auto"/>
        <w:ind w:right="210" w:firstLine="440"/>
        <w:jc w:val="both"/>
      </w:pPr>
      <w:r>
        <w:rPr>
          <w:color w:val="231F20"/>
        </w:rPr>
        <w:t>监理人应在《技术条款》规定的期限内，向承包人提供测量基准点、基准线和水准点及其书面资料。承包人应根据上述基准点（线）以及国家测绘标准和本工程精度要求，测设自己的施工控制网，并应在《技术条款》规定的期限内，将施工控制网资料报送监理人审批。</w:t>
      </w:r>
    </w:p>
    <w:p>
      <w:pPr>
        <w:pStyle w:val="BodyText"/>
        <w:spacing w:line="304" w:lineRule="auto" w:before="21"/>
        <w:ind w:right="93" w:firstLine="440"/>
      </w:pPr>
      <w:r>
        <w:rPr>
          <w:color w:val="231F20"/>
        </w:rPr>
        <w:t>承包人应负责管理好施工控制网点，若有丢失或损坏，应及时修复，其所需的管理和修复费用由承包人承担。工程完工后应完好地移交给发包人。</w:t>
      </w:r>
    </w:p>
    <w:p>
      <w:pPr>
        <w:pStyle w:val="ListParagraph"/>
        <w:numPr>
          <w:ilvl w:val="1"/>
          <w:numId w:val="4"/>
        </w:numPr>
        <w:tabs>
          <w:tab w:pos="1158" w:val="left" w:leader="none"/>
          <w:tab w:pos="1159" w:val="left" w:leader="none"/>
        </w:tabs>
        <w:spacing w:line="240" w:lineRule="auto" w:before="21" w:after="0"/>
        <w:ind w:left="1158" w:right="0" w:hanging="601"/>
        <w:jc w:val="left"/>
        <w:rPr>
          <w:sz w:val="22"/>
        </w:rPr>
      </w:pPr>
      <w:r>
        <w:rPr>
          <w:color w:val="231F20"/>
          <w:sz w:val="22"/>
        </w:rPr>
        <w:t>施工测量</w:t>
      </w:r>
    </w:p>
    <w:p>
      <w:pPr>
        <w:pStyle w:val="BodyText"/>
        <w:spacing w:line="304" w:lineRule="auto"/>
        <w:ind w:right="93" w:firstLine="440"/>
      </w:pPr>
      <w:r>
        <w:rPr>
          <w:color w:val="231F20"/>
        </w:rPr>
        <w:t>承包人应负责施工过程中的全部施工测量放线工作，并应自行配置合格的人员、仪器、设备和其他物品。</w:t>
      </w:r>
    </w:p>
    <w:p>
      <w:pPr>
        <w:pStyle w:val="BodyText"/>
        <w:spacing w:line="304" w:lineRule="auto" w:before="21"/>
        <w:ind w:right="93" w:firstLine="440"/>
      </w:pPr>
      <w:r>
        <w:rPr>
          <w:color w:val="231F20"/>
        </w:rPr>
        <w:t>监理人可以指示承包人在监理人监督下进行抽样复测，当复测中发现有错误时，承包人必须按监理人指示进行修正或补测，发包人将不再支付上述增加的复测费用。</w:t>
      </w:r>
    </w:p>
    <w:p>
      <w:pPr>
        <w:pStyle w:val="ListParagraph"/>
        <w:numPr>
          <w:ilvl w:val="1"/>
          <w:numId w:val="4"/>
        </w:numPr>
        <w:tabs>
          <w:tab w:pos="1158" w:val="left" w:leader="none"/>
          <w:tab w:pos="1159" w:val="left" w:leader="none"/>
        </w:tabs>
        <w:spacing w:line="240" w:lineRule="auto" w:before="21" w:after="0"/>
        <w:ind w:left="1158" w:right="0" w:hanging="601"/>
        <w:jc w:val="left"/>
        <w:rPr>
          <w:sz w:val="22"/>
        </w:rPr>
      </w:pPr>
      <w:r>
        <w:rPr>
          <w:color w:val="231F20"/>
          <w:sz w:val="22"/>
        </w:rPr>
        <w:t>监理人使用施工控制网</w:t>
      </w:r>
    </w:p>
    <w:p>
      <w:pPr>
        <w:pStyle w:val="BodyText"/>
        <w:spacing w:line="304" w:lineRule="auto"/>
        <w:ind w:right="93" w:firstLine="440"/>
      </w:pPr>
      <w:r>
        <w:rPr>
          <w:color w:val="231F20"/>
        </w:rPr>
        <w:t>监理人可以使用本合同的施工控制网，承包人应及时提供必要的协助，发包人亦不再为此另行支付费用。其他承包人需要使用上述施工控制网时，应按第 5.12 款的规定办理。</w:t>
      </w:r>
    </w:p>
    <w:p>
      <w:pPr>
        <w:pStyle w:val="ListParagraph"/>
        <w:numPr>
          <w:ilvl w:val="0"/>
          <w:numId w:val="4"/>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补充地质勘探</w:t>
      </w:r>
    </w:p>
    <w:p>
      <w:pPr>
        <w:pStyle w:val="BodyText"/>
        <w:spacing w:line="304" w:lineRule="auto" w:before="101"/>
        <w:ind w:right="112" w:firstLine="440"/>
      </w:pPr>
      <w:r>
        <w:rPr>
          <w:color w:val="231F20"/>
          <w:spacing w:val="-2"/>
        </w:rPr>
        <w:t>在合同实施期间，监理人可以指示承包人进行必要的补充地质勘探和提供有关资料；承包 人为本合同永久工程的施工需要进行补充地质勘探时，须经监理人批准，并应向监理人提交有</w:t>
      </w:r>
      <w:r>
        <w:rPr>
          <w:color w:val="231F20"/>
        </w:rPr>
        <w:t>关资料，上述补充勘探的费用由发包人承担。承包人为其临时工程所需进行的补充地质勘探， 其费用由承包人承担。</w:t>
      </w:r>
    </w:p>
    <w:p>
      <w:pPr>
        <w:pStyle w:val="Heading2"/>
      </w:pPr>
      <w:r>
        <w:rPr>
          <w:color w:val="231F20"/>
        </w:rPr>
        <w:t>十四、文明施工</w:t>
      </w:r>
    </w:p>
    <w:p>
      <w:pPr>
        <w:pStyle w:val="ListParagraph"/>
        <w:numPr>
          <w:ilvl w:val="0"/>
          <w:numId w:val="4"/>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文明施工</w:t>
      </w:r>
    </w:p>
    <w:p>
      <w:pPr>
        <w:pStyle w:val="BodyText"/>
        <w:spacing w:before="101"/>
        <w:ind w:left="557"/>
      </w:pPr>
      <w:r>
        <w:rPr>
          <w:color w:val="231F20"/>
        </w:rPr>
        <w:t>发包人应统一管理本工程的文明施工工作，负责管理和协调全工地的治安保卫、施工安全</w:t>
      </w:r>
    </w:p>
    <w:p>
      <w:pPr>
        <w:spacing w:after="0"/>
        <w:sectPr>
          <w:footerReference w:type="even" r:id="rId11"/>
          <w:footerReference w:type="default" r:id="rId12"/>
          <w:pgSz w:w="11910" w:h="16840"/>
          <w:pgMar w:footer="832" w:header="0" w:top="1580" w:bottom="1020" w:left="1300" w:right="1200"/>
        </w:sectPr>
      </w:pPr>
    </w:p>
    <w:p>
      <w:pPr>
        <w:pStyle w:val="BodyText"/>
        <w:spacing w:before="24"/>
      </w:pPr>
      <w:r>
        <w:rPr>
          <w:color w:val="231F20"/>
        </w:rPr>
        <w:t>和环境保护等有关文明施工事项。发包人对文明施工的统一管理和协调工作不免除承包人按第</w:t>
      </w:r>
    </w:p>
    <w:p>
      <w:pPr>
        <w:pStyle w:val="BodyText"/>
      </w:pPr>
      <w:r>
        <w:rPr>
          <w:color w:val="231F20"/>
        </w:rPr>
        <w:t>29.1 款、第 29.2 款和第 30 条规定应负的责任。</w:t>
      </w:r>
    </w:p>
    <w:p>
      <w:pPr>
        <w:pStyle w:val="ListParagraph"/>
        <w:numPr>
          <w:ilvl w:val="1"/>
          <w:numId w:val="5"/>
        </w:numPr>
        <w:tabs>
          <w:tab w:pos="1158" w:val="left" w:leader="none"/>
          <w:tab w:pos="1159" w:val="left" w:leader="none"/>
        </w:tabs>
        <w:spacing w:line="240" w:lineRule="auto" w:before="89" w:after="0"/>
        <w:ind w:left="1158" w:right="0" w:hanging="601"/>
        <w:jc w:val="left"/>
        <w:rPr>
          <w:sz w:val="22"/>
        </w:rPr>
      </w:pPr>
      <w:r>
        <w:rPr>
          <w:color w:val="231F20"/>
          <w:sz w:val="22"/>
        </w:rPr>
        <w:t>治安保卫</w:t>
      </w:r>
    </w:p>
    <w:p>
      <w:pPr>
        <w:pStyle w:val="BodyText"/>
        <w:spacing w:line="304" w:lineRule="auto"/>
        <w:ind w:right="215" w:firstLine="330"/>
        <w:jc w:val="both"/>
      </w:pPr>
      <w:r>
        <w:rPr>
          <w:color w:val="231F20"/>
        </w:rPr>
        <w:t>（ 1）发包人应负责与当地公安部门协商，共同在工地建立或委托当地公安部门，建立一个现场治安管理机构，统一管理全工地的治安保卫事宜，负责履行本工程的治安保卫职责。</w:t>
      </w:r>
    </w:p>
    <w:p>
      <w:pPr>
        <w:pStyle w:val="BodyText"/>
        <w:spacing w:line="304" w:lineRule="auto" w:before="21"/>
        <w:ind w:right="215" w:firstLine="330"/>
        <w:jc w:val="both"/>
      </w:pPr>
      <w:r>
        <w:rPr>
          <w:color w:val="231F20"/>
        </w:rPr>
        <w:t>（ 2）发包人和承包人应教育各自的人员遵纪守法，共同维护全工地的社会治安，协助现场治安管理机构，做好各自管辖区（包括施工工地和生活区）的治安保卫工作。</w:t>
      </w:r>
    </w:p>
    <w:p>
      <w:pPr>
        <w:pStyle w:val="ListParagraph"/>
        <w:numPr>
          <w:ilvl w:val="1"/>
          <w:numId w:val="5"/>
        </w:numPr>
        <w:tabs>
          <w:tab w:pos="1158" w:val="left" w:leader="none"/>
          <w:tab w:pos="1159" w:val="left" w:leader="none"/>
        </w:tabs>
        <w:spacing w:line="240" w:lineRule="auto" w:before="21" w:after="0"/>
        <w:ind w:left="1158" w:right="0" w:hanging="601"/>
        <w:jc w:val="left"/>
        <w:rPr>
          <w:sz w:val="22"/>
        </w:rPr>
      </w:pPr>
      <w:r>
        <w:rPr>
          <w:color w:val="231F20"/>
          <w:sz w:val="22"/>
        </w:rPr>
        <w:t>施工安全</w:t>
      </w:r>
    </w:p>
    <w:p>
      <w:pPr>
        <w:pStyle w:val="BodyText"/>
        <w:spacing w:line="304" w:lineRule="auto"/>
        <w:ind w:right="214" w:firstLine="330"/>
        <w:jc w:val="both"/>
      </w:pPr>
      <w:r>
        <w:rPr>
          <w:color w:val="231F20"/>
        </w:rPr>
        <w:t>（ 1）发包人应负责统一管理本工程的施工作业安全以及消防、防汛和抗灾等工作。监理人应按有关法律、法规和规章以及本合同的有关规定，检查、监督施工安全工作的实施，承包人应认真执行监理人有关安全管理工作的指示。监理人在检查中发现施工中存在不安全因素，应及时指示承包人采取有效措施予以改正，若承包人故意延误或拒绝改正时，则监理人有权责令其停工整改。</w:t>
      </w:r>
    </w:p>
    <w:p>
      <w:pPr>
        <w:pStyle w:val="BodyText"/>
        <w:spacing w:line="304" w:lineRule="auto" w:before="21"/>
        <w:ind w:right="215" w:firstLine="330"/>
        <w:jc w:val="both"/>
      </w:pPr>
      <w:r>
        <w:rPr>
          <w:color w:val="231F20"/>
        </w:rPr>
        <w:t>（ 2）承包人应按合同规定履行其安全职责。承包人应设置必要的安全管理机构和配备专职的安全人员，加强对施工作业安全的管理，特别应加强易燃、易爆材料、火工器材和爆破作业的管理，制定安全操作规程，配备必要的安全生产设施和劳动保护用具，并经常对其职工进行施工安全教育。</w:t>
      </w:r>
    </w:p>
    <w:p>
      <w:pPr>
        <w:pStyle w:val="BodyText"/>
        <w:spacing w:line="304" w:lineRule="auto" w:before="21"/>
        <w:ind w:right="215" w:firstLine="330"/>
        <w:jc w:val="both"/>
      </w:pPr>
      <w:r>
        <w:rPr>
          <w:color w:val="231F20"/>
        </w:rPr>
        <w:t>（ 3）发包人或委托承包人（应在专用合同条款中约定）在工地建立一支消防队伍负责全工地的消防工作，配备必要的消防水源、消防设备和救助设施。</w:t>
      </w:r>
    </w:p>
    <w:p>
      <w:pPr>
        <w:pStyle w:val="BodyText"/>
        <w:spacing w:line="304" w:lineRule="auto" w:before="21"/>
        <w:ind w:right="215" w:firstLine="330"/>
        <w:jc w:val="both"/>
      </w:pPr>
      <w:r>
        <w:rPr>
          <w:color w:val="231F20"/>
        </w:rPr>
        <w:t>（ 4）发包人或委托监理人在每年汛前组织承包人和有关单位进行防汛检查，并负责统一指挥全工地的防汛和抗灾工作。</w:t>
      </w:r>
    </w:p>
    <w:p>
      <w:pPr>
        <w:pStyle w:val="BodyText"/>
        <w:spacing w:line="304" w:lineRule="auto" w:before="21"/>
        <w:ind w:right="93" w:firstLine="440"/>
      </w:pPr>
      <w:r>
        <w:rPr>
          <w:color w:val="231F20"/>
        </w:rPr>
        <w:t>承包人应负责其管辖范围内的防汛和抗灾等工作，按发包人的要求和监理人的指示，做好每年的汛前检查，配置必要的防汛物资和器材，按合同规定做好汛情预报和安全度汛工作。</w:t>
      </w:r>
    </w:p>
    <w:p>
      <w:pPr>
        <w:pStyle w:val="ListParagraph"/>
        <w:numPr>
          <w:ilvl w:val="0"/>
          <w:numId w:val="5"/>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环境保护</w:t>
      </w:r>
    </w:p>
    <w:p>
      <w:pPr>
        <w:pStyle w:val="ListParagraph"/>
        <w:numPr>
          <w:ilvl w:val="1"/>
          <w:numId w:val="5"/>
        </w:numPr>
        <w:tabs>
          <w:tab w:pos="1158" w:val="left" w:leader="none"/>
          <w:tab w:pos="1159" w:val="left" w:leader="none"/>
        </w:tabs>
        <w:spacing w:line="240" w:lineRule="auto" w:before="102" w:after="0"/>
        <w:ind w:left="1158" w:right="0" w:hanging="601"/>
        <w:jc w:val="left"/>
        <w:rPr>
          <w:sz w:val="22"/>
        </w:rPr>
      </w:pPr>
      <w:r>
        <w:rPr>
          <w:color w:val="231F20"/>
          <w:sz w:val="22"/>
        </w:rPr>
        <w:t>环境保护责任</w:t>
      </w:r>
    </w:p>
    <w:p>
      <w:pPr>
        <w:pStyle w:val="BodyText"/>
        <w:spacing w:line="304" w:lineRule="auto"/>
        <w:ind w:right="93" w:firstLine="440"/>
      </w:pPr>
      <w:r>
        <w:rPr>
          <w:color w:val="231F20"/>
        </w:rPr>
        <w:t>承包人在施工过程中，应遵守有关环境保护的法律、法规和规章及本合同的有关规定，并应对其违反上述法规和规章和本合同规定所造成的环境破坏以及人员伤害和财产损失负责。</w:t>
      </w:r>
    </w:p>
    <w:p>
      <w:pPr>
        <w:pStyle w:val="ListParagraph"/>
        <w:numPr>
          <w:ilvl w:val="1"/>
          <w:numId w:val="5"/>
        </w:numPr>
        <w:tabs>
          <w:tab w:pos="1158" w:val="left" w:leader="none"/>
          <w:tab w:pos="1159" w:val="left" w:leader="none"/>
        </w:tabs>
        <w:spacing w:line="240" w:lineRule="auto" w:before="21" w:after="0"/>
        <w:ind w:left="1158" w:right="0" w:hanging="601"/>
        <w:jc w:val="left"/>
        <w:rPr>
          <w:sz w:val="22"/>
        </w:rPr>
      </w:pPr>
      <w:r>
        <w:rPr>
          <w:color w:val="231F20"/>
          <w:sz w:val="22"/>
        </w:rPr>
        <w:t>采取合理的措施保护环境</w:t>
      </w:r>
    </w:p>
    <w:p>
      <w:pPr>
        <w:pStyle w:val="BodyText"/>
        <w:spacing w:line="304" w:lineRule="auto"/>
        <w:ind w:right="213" w:firstLine="330"/>
        <w:jc w:val="both"/>
      </w:pPr>
      <w:r>
        <w:rPr>
          <w:color w:val="231F20"/>
        </w:rPr>
        <w:t>（ 1）承包人应在其编报的施工组织设计中，做好施工弃渣的处理措施，严格按批准的弃渣规划有序地堆放和利用弃渣，防止任意堆放弃渣降低河道的行洪能力和影响其他承包人的施工和危及下游居民的安全。</w:t>
      </w:r>
    </w:p>
    <w:p>
      <w:pPr>
        <w:pStyle w:val="BodyText"/>
        <w:spacing w:line="304" w:lineRule="auto" w:before="21"/>
        <w:ind w:right="93" w:firstLine="330"/>
      </w:pPr>
      <w:r>
        <w:rPr>
          <w:color w:val="231F20"/>
        </w:rPr>
        <w:t>（ 2）承包人应按合同规定采取有效措施对施工开挖的边坡及时进行支护和做好排水措施， 避免由于施工造成的水土流失。</w:t>
      </w:r>
    </w:p>
    <w:p>
      <w:pPr>
        <w:spacing w:after="0" w:line="304" w:lineRule="auto"/>
        <w:sectPr>
          <w:pgSz w:w="11910" w:h="16840"/>
          <w:pgMar w:header="0" w:footer="832" w:top="1580" w:bottom="1020" w:left="1300" w:right="1200"/>
        </w:sectPr>
      </w:pPr>
    </w:p>
    <w:p>
      <w:pPr>
        <w:pStyle w:val="BodyText"/>
        <w:spacing w:before="24"/>
        <w:ind w:left="447"/>
      </w:pPr>
      <w:r>
        <w:rPr>
          <w:color w:val="231F20"/>
        </w:rPr>
        <w:t>（ 3）承包人在施工过程中应采取有效措施，注意保护饮用水源免受施工活动造成的污染。</w:t>
      </w:r>
    </w:p>
    <w:p>
      <w:pPr>
        <w:pStyle w:val="BodyText"/>
        <w:spacing w:line="304" w:lineRule="auto"/>
        <w:ind w:right="112" w:firstLine="330"/>
        <w:jc w:val="both"/>
      </w:pPr>
      <w:r>
        <w:rPr>
          <w:color w:val="231F20"/>
        </w:rPr>
        <w:t>（ 4）承包人应按《技术条款》的规定，加强对噪声、粉尘、废气、废水的控制和治理，努力降低噪声，控制粉尘和废气浓度以及做好废水和废油的治理和排放。</w:t>
      </w:r>
    </w:p>
    <w:p>
      <w:pPr>
        <w:pStyle w:val="BodyText"/>
        <w:spacing w:line="304" w:lineRule="auto" w:before="21"/>
        <w:ind w:right="115" w:firstLine="330"/>
        <w:jc w:val="both"/>
      </w:pPr>
      <w:r>
        <w:rPr>
          <w:color w:val="231F20"/>
        </w:rPr>
        <w:t>（ 5）承包人应保持施工区和生活区的环境卫生，及时清除垃圾和废弃物，并运至指定的地点堆放和处理。进入现场的材料、设备必须置放有序，防止任意堆放器材、杂物阻塞工作场地周围的通道和破坏环境。</w:t>
      </w:r>
    </w:p>
    <w:p>
      <w:pPr>
        <w:pStyle w:val="Heading2"/>
      </w:pPr>
      <w:r>
        <w:rPr>
          <w:color w:val="231F20"/>
        </w:rPr>
        <w:t>十五、计量与支付</w:t>
      </w:r>
    </w:p>
    <w:p>
      <w:pPr>
        <w:pStyle w:val="ListParagraph"/>
        <w:numPr>
          <w:ilvl w:val="0"/>
          <w:numId w:val="5"/>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计量</w:t>
      </w:r>
    </w:p>
    <w:p>
      <w:pPr>
        <w:pStyle w:val="ListParagraph"/>
        <w:numPr>
          <w:ilvl w:val="1"/>
          <w:numId w:val="5"/>
        </w:numPr>
        <w:tabs>
          <w:tab w:pos="1158" w:val="left" w:leader="none"/>
          <w:tab w:pos="1159" w:val="left" w:leader="none"/>
        </w:tabs>
        <w:spacing w:line="240" w:lineRule="auto" w:before="102" w:after="0"/>
        <w:ind w:left="1158" w:right="0" w:hanging="601"/>
        <w:jc w:val="left"/>
        <w:rPr>
          <w:sz w:val="22"/>
        </w:rPr>
      </w:pPr>
      <w:r>
        <w:rPr>
          <w:color w:val="231F20"/>
          <w:sz w:val="22"/>
        </w:rPr>
        <w:t>工程量</w:t>
      </w:r>
    </w:p>
    <w:p>
      <w:pPr>
        <w:pStyle w:val="BodyText"/>
        <w:spacing w:line="304" w:lineRule="auto"/>
        <w:ind w:right="119" w:firstLine="330"/>
        <w:jc w:val="both"/>
      </w:pPr>
      <w:r>
        <w:rPr>
          <w:color w:val="231F20"/>
          <w:spacing w:val="-4"/>
        </w:rPr>
        <w:t>《工程量清单》中开列的工程量是合同的估算工程量，不是承包人为履行合同应当完成的和</w:t>
      </w:r>
      <w:r>
        <w:rPr>
          <w:color w:val="231F20"/>
          <w:spacing w:val="-5"/>
        </w:rPr>
        <w:t>用于结算的工程量。结算的工程量应是承包人实际完成的并按合同有关计量规定计量的工程量。</w:t>
      </w:r>
    </w:p>
    <w:p>
      <w:pPr>
        <w:pStyle w:val="ListParagraph"/>
        <w:numPr>
          <w:ilvl w:val="1"/>
          <w:numId w:val="5"/>
        </w:numPr>
        <w:tabs>
          <w:tab w:pos="1158" w:val="left" w:leader="none"/>
          <w:tab w:pos="1159" w:val="left" w:leader="none"/>
        </w:tabs>
        <w:spacing w:line="240" w:lineRule="auto" w:before="21" w:after="0"/>
        <w:ind w:left="1158" w:right="0" w:hanging="601"/>
        <w:jc w:val="left"/>
        <w:rPr>
          <w:sz w:val="22"/>
        </w:rPr>
      </w:pPr>
      <w:r>
        <w:rPr>
          <w:color w:val="231F20"/>
          <w:sz w:val="22"/>
        </w:rPr>
        <w:t>完成工程量的计量</w:t>
      </w:r>
    </w:p>
    <w:p>
      <w:pPr>
        <w:pStyle w:val="BodyText"/>
        <w:spacing w:line="304" w:lineRule="auto"/>
        <w:ind w:right="114" w:firstLine="330"/>
        <w:jc w:val="both"/>
      </w:pPr>
      <w:r>
        <w:rPr>
          <w:color w:val="231F20"/>
        </w:rPr>
        <w:t>（ 1）承包人应按合同规定的计量办法，按月对已完成的质量合格的工程进行准确计量，并在每月末随同月付款申请单，按《工程量清单》的项目分项向监理人提交完成工程量月报表和有关计量资料。</w:t>
      </w:r>
    </w:p>
    <w:p>
      <w:pPr>
        <w:pStyle w:val="BodyText"/>
        <w:spacing w:line="304" w:lineRule="auto" w:before="21"/>
        <w:ind w:right="105" w:firstLine="330"/>
        <w:jc w:val="both"/>
      </w:pPr>
      <w:r>
        <w:rPr>
          <w:color w:val="231F20"/>
        </w:rPr>
        <w:t>（ 2）监理人对承包人提交的工程量月报表进行复核，以确定当月完成的工程量，有疑问时，可以要求承包人派员与监理人共同复核，并可要求承包人按第 27.2 款的规定进行抽样复测，此时，承包人应指派代表协助监理人进行复核并按监理人的要求提供补充的计量资料。</w:t>
      </w:r>
    </w:p>
    <w:p>
      <w:pPr>
        <w:pStyle w:val="BodyText"/>
        <w:spacing w:line="304" w:lineRule="auto" w:before="21"/>
        <w:ind w:right="115" w:firstLine="330"/>
        <w:jc w:val="both"/>
      </w:pPr>
      <w:r>
        <w:rPr>
          <w:color w:val="231F20"/>
        </w:rPr>
        <w:t>（ 3）若承包人未按监理人的要求派代表参加复核，则监理人复核修正的工程量应被视为承包人实际完成的准确工程量。</w:t>
      </w:r>
    </w:p>
    <w:p>
      <w:pPr>
        <w:pStyle w:val="BodyText"/>
        <w:spacing w:before="21"/>
        <w:ind w:left="447"/>
      </w:pPr>
      <w:r>
        <w:rPr>
          <w:color w:val="231F20"/>
        </w:rPr>
        <w:t>（ 4）监理人认为有必要时，可要求与承包人联合进行测量计量，承包人应遵照执行。</w:t>
      </w:r>
    </w:p>
    <w:p>
      <w:pPr>
        <w:pStyle w:val="BodyText"/>
        <w:spacing w:line="304" w:lineRule="auto"/>
        <w:ind w:right="113" w:firstLine="330"/>
        <w:jc w:val="both"/>
      </w:pPr>
      <w:r>
        <w:rPr>
          <w:color w:val="231F20"/>
        </w:rPr>
        <w:t>（ 5）承包人完成了《工程量清单》中每个项目的全部工程量后，监理人应要求承包人派员共同对每个项目的历次计量报表进行汇总和通过测量核实该项目的最终结算工程量，并可要求承包人提供补充计量资料，以确定该项目最后一次进度付款的准确工程量。如承包人未按监理人的要求派员参加，则监理人最终核实的工程量应被视为该项目完成的准确工程量。</w:t>
      </w:r>
    </w:p>
    <w:p>
      <w:pPr>
        <w:pStyle w:val="ListParagraph"/>
        <w:numPr>
          <w:ilvl w:val="1"/>
          <w:numId w:val="5"/>
        </w:numPr>
        <w:tabs>
          <w:tab w:pos="1158" w:val="left" w:leader="none"/>
          <w:tab w:pos="1159" w:val="left" w:leader="none"/>
        </w:tabs>
        <w:spacing w:line="240" w:lineRule="auto" w:before="20" w:after="0"/>
        <w:ind w:left="1158" w:right="0" w:hanging="601"/>
        <w:jc w:val="left"/>
        <w:rPr>
          <w:sz w:val="22"/>
        </w:rPr>
      </w:pPr>
      <w:r>
        <w:rPr>
          <w:color w:val="231F20"/>
          <w:sz w:val="22"/>
        </w:rPr>
        <w:t>计量方法</w:t>
      </w:r>
    </w:p>
    <w:p>
      <w:pPr>
        <w:pStyle w:val="BodyText"/>
        <w:spacing w:before="88"/>
        <w:ind w:left="557"/>
      </w:pPr>
      <w:r>
        <w:rPr>
          <w:color w:val="231F20"/>
        </w:rPr>
        <w:t>除合同另有规定外，各个项目的计量办法应按《技术条款》的有关规定执行。</w:t>
      </w:r>
    </w:p>
    <w:p>
      <w:pPr>
        <w:pStyle w:val="ListParagraph"/>
        <w:numPr>
          <w:ilvl w:val="1"/>
          <w:numId w:val="5"/>
        </w:numPr>
        <w:tabs>
          <w:tab w:pos="1158" w:val="left" w:leader="none"/>
          <w:tab w:pos="1159" w:val="left" w:leader="none"/>
        </w:tabs>
        <w:spacing w:line="240" w:lineRule="auto" w:before="88" w:after="0"/>
        <w:ind w:left="1158" w:right="0" w:hanging="601"/>
        <w:jc w:val="left"/>
        <w:rPr>
          <w:sz w:val="22"/>
        </w:rPr>
      </w:pPr>
      <w:r>
        <w:rPr>
          <w:color w:val="231F20"/>
          <w:sz w:val="22"/>
        </w:rPr>
        <w:t>计量单位</w:t>
      </w:r>
    </w:p>
    <w:p>
      <w:pPr>
        <w:pStyle w:val="BodyText"/>
        <w:spacing w:before="88"/>
        <w:ind w:left="557"/>
      </w:pPr>
      <w:r>
        <w:rPr>
          <w:color w:val="231F20"/>
        </w:rPr>
        <w:t>除合同另有规定外，均应采用国家法定的计量单位。</w:t>
      </w:r>
    </w:p>
    <w:p>
      <w:pPr>
        <w:pStyle w:val="ListParagraph"/>
        <w:numPr>
          <w:ilvl w:val="1"/>
          <w:numId w:val="5"/>
        </w:numPr>
        <w:tabs>
          <w:tab w:pos="1158" w:val="left" w:leader="none"/>
          <w:tab w:pos="1159" w:val="left" w:leader="none"/>
        </w:tabs>
        <w:spacing w:line="240" w:lineRule="auto" w:before="88" w:after="0"/>
        <w:ind w:left="1158" w:right="0" w:hanging="601"/>
        <w:jc w:val="left"/>
        <w:rPr>
          <w:sz w:val="22"/>
        </w:rPr>
      </w:pPr>
      <w:r>
        <w:rPr>
          <w:color w:val="231F20"/>
          <w:sz w:val="22"/>
        </w:rPr>
        <w:t>总价承包项目的分解</w:t>
      </w:r>
    </w:p>
    <w:p>
      <w:pPr>
        <w:pStyle w:val="BodyText"/>
        <w:spacing w:line="304" w:lineRule="auto" w:before="88"/>
        <w:ind w:right="103" w:firstLine="440"/>
      </w:pPr>
      <w:r>
        <w:rPr>
          <w:color w:val="231F20"/>
        </w:rPr>
        <w:t>承包人应将工程量清单中的总价承包项目进行分解，并在签订协议书后的 28 天内将该项目的分解表提交监理人审批。分解表应标明其所属子项和分阶段需支付的金额。</w:t>
      </w:r>
    </w:p>
    <w:p>
      <w:pPr>
        <w:spacing w:after="0" w:line="304" w:lineRule="auto"/>
        <w:sectPr>
          <w:footerReference w:type="even" r:id="rId13"/>
          <w:footerReference w:type="default" r:id="rId14"/>
          <w:pgSz w:w="11910" w:h="16840"/>
          <w:pgMar w:footer="832" w:header="0" w:top="1580" w:bottom="1020" w:left="1300" w:right="1300"/>
          <w:pgNumType w:start="22"/>
        </w:sectPr>
      </w:pPr>
    </w:p>
    <w:p>
      <w:pPr>
        <w:pStyle w:val="ListParagraph"/>
        <w:numPr>
          <w:ilvl w:val="0"/>
          <w:numId w:val="5"/>
        </w:numPr>
        <w:tabs>
          <w:tab w:pos="1021" w:val="left" w:leader="none"/>
          <w:tab w:pos="1022" w:val="left" w:leader="none"/>
        </w:tabs>
        <w:spacing w:line="240" w:lineRule="auto" w:before="18"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预付款</w:t>
      </w:r>
    </w:p>
    <w:p>
      <w:pPr>
        <w:pStyle w:val="ListParagraph"/>
        <w:numPr>
          <w:ilvl w:val="1"/>
          <w:numId w:val="5"/>
        </w:numPr>
        <w:tabs>
          <w:tab w:pos="1158" w:val="left" w:leader="none"/>
          <w:tab w:pos="1159" w:val="left" w:leader="none"/>
        </w:tabs>
        <w:spacing w:line="240" w:lineRule="auto" w:before="102" w:after="0"/>
        <w:ind w:left="1158" w:right="0" w:hanging="601"/>
        <w:jc w:val="left"/>
        <w:rPr>
          <w:sz w:val="22"/>
        </w:rPr>
      </w:pPr>
      <w:r>
        <w:rPr>
          <w:color w:val="231F20"/>
          <w:sz w:val="22"/>
        </w:rPr>
        <w:t>工程预付款</w:t>
      </w:r>
    </w:p>
    <w:p>
      <w:pPr>
        <w:pStyle w:val="BodyText"/>
        <w:spacing w:line="304" w:lineRule="auto"/>
        <w:ind w:right="110" w:firstLine="330"/>
        <w:jc w:val="both"/>
      </w:pPr>
      <w:r>
        <w:rPr>
          <w:color w:val="231F20"/>
        </w:rPr>
        <w:t>（ 1）工程预付款的总金额应不低于合同价格的 10％，分两次支付给承包人。第一次预付款的金额应不低于工程预付款总金额的 40％。工程预付款总金额的额度和分次付款比例在专用合同条款中规定。工程预付款专用于本合同工程。</w:t>
      </w:r>
    </w:p>
    <w:p>
      <w:pPr>
        <w:pStyle w:val="BodyText"/>
        <w:spacing w:line="304" w:lineRule="auto" w:before="21"/>
        <w:ind w:right="114" w:firstLine="330"/>
        <w:jc w:val="both"/>
      </w:pPr>
      <w:r>
        <w:rPr>
          <w:color w:val="231F20"/>
        </w:rPr>
        <w:t>（ 2）第一次预付款应在协议书签订后 21 天内，由承包人向发包人提交了经发包人认可的工程预付款保函，并经监理人出具付款证书报送发包人批准后予以支付。工程预付款保函在预付款被发包人扣回前一直有效，保函金额为本次预付款金额，但可根据以后预付款扣回的金额相应递减。</w:t>
      </w:r>
    </w:p>
    <w:p>
      <w:pPr>
        <w:pStyle w:val="BodyText"/>
        <w:spacing w:line="304" w:lineRule="auto" w:before="21"/>
        <w:ind w:right="106" w:firstLine="330"/>
        <w:jc w:val="both"/>
      </w:pPr>
      <w:r>
        <w:rPr>
          <w:color w:val="231F20"/>
        </w:rPr>
        <w:t>（ 3）第二次预付款需待承包人主要设备进入工地后，其估算价值已达到本次预付款金额时，由承包人提出书面申请，经监理人核实后出具付款证书报送发包人，发包人收到监理人出具的付款证书后的 14 天内支付给承包人。</w:t>
      </w:r>
    </w:p>
    <w:p>
      <w:pPr>
        <w:pStyle w:val="BodyText"/>
        <w:spacing w:line="304" w:lineRule="auto" w:before="21"/>
        <w:ind w:right="114" w:firstLine="330"/>
        <w:jc w:val="both"/>
      </w:pPr>
      <w:r>
        <w:rPr>
          <w:color w:val="231F20"/>
        </w:rPr>
        <w:t>（ 4）工程预付款由发包人从月进度付款中扣回。在合同累计完成金额达到专用合同条款规定的数额时开始扣款，直至合同累计完成金额达到专用合同条款规定的数额时全部扣清。在每次进度付款时，累计扣回的金额按下列公式计算：</w:t>
      </w:r>
    </w:p>
    <w:p>
      <w:pPr>
        <w:spacing w:line="179" w:lineRule="exact" w:before="79"/>
        <w:ind w:left="0" w:right="91" w:firstLine="0"/>
        <w:jc w:val="center"/>
        <w:rPr>
          <w:rFonts w:ascii="Times New Roman"/>
          <w:i/>
          <w:sz w:val="22"/>
        </w:rPr>
      </w:pPr>
      <w:r>
        <w:rPr>
          <w:rFonts w:ascii="Times New Roman"/>
          <w:i/>
          <w:color w:val="231F20"/>
          <w:sz w:val="22"/>
        </w:rPr>
        <w:t>A</w:t>
      </w:r>
    </w:p>
    <w:p>
      <w:pPr>
        <w:spacing w:line="330" w:lineRule="exact" w:before="0"/>
        <w:ind w:left="3647" w:right="0" w:firstLine="0"/>
        <w:jc w:val="left"/>
        <w:rPr>
          <w:sz w:val="22"/>
        </w:rPr>
      </w:pPr>
      <w:r>
        <w:rPr/>
        <w:pict>
          <v:line style="position:absolute;mso-position-horizontal-relative:page;mso-position-vertical-relative:paragraph;z-index:-44320" from="268.389008pt,6.900303pt" to="322.814008pt,6.900303pt" stroked="true" strokeweight=".283pt" strokecolor="#231f20">
            <v:stroke dashstyle="solid"/>
            <w10:wrap type="none"/>
          </v:line>
        </w:pict>
      </w:r>
      <w:r>
        <w:rPr>
          <w:rFonts w:ascii="Times New Roman" w:eastAsia="Times New Roman"/>
          <w:i/>
          <w:color w:val="231F20"/>
          <w:position w:val="4"/>
          <w:sz w:val="22"/>
        </w:rPr>
        <w:t>R</w:t>
      </w:r>
      <w:r>
        <w:rPr>
          <w:color w:val="231F20"/>
          <w:position w:val="3"/>
          <w:sz w:val="22"/>
        </w:rPr>
        <w:t>=  </w:t>
      </w:r>
      <w:r>
        <w:rPr>
          <w:color w:val="231F20"/>
          <w:position w:val="-15"/>
          <w:sz w:val="22"/>
        </w:rPr>
        <w:t>（ </w:t>
      </w:r>
      <w:r>
        <w:rPr>
          <w:rFonts w:ascii="Times New Roman" w:eastAsia="Times New Roman"/>
          <w:i/>
          <w:color w:val="231F20"/>
          <w:position w:val="-15"/>
          <w:sz w:val="22"/>
        </w:rPr>
        <w:t>F </w:t>
      </w:r>
      <w:r>
        <w:rPr>
          <w:color w:val="231F20"/>
          <w:position w:val="-15"/>
          <w:sz w:val="22"/>
        </w:rPr>
        <w:t>-</w:t>
      </w:r>
      <w:r>
        <w:rPr>
          <w:rFonts w:ascii="Times New Roman" w:eastAsia="Times New Roman"/>
          <w:i/>
          <w:color w:val="231F20"/>
          <w:position w:val="-15"/>
          <w:sz w:val="22"/>
        </w:rPr>
        <w:t>F </w:t>
      </w:r>
      <w:r>
        <w:rPr>
          <w:color w:val="231F20"/>
          <w:position w:val="-15"/>
          <w:sz w:val="22"/>
        </w:rPr>
        <w:t>）</w:t>
      </w:r>
      <w:r>
        <w:rPr>
          <w:rFonts w:ascii="Times New Roman" w:eastAsia="Times New Roman"/>
          <w:i/>
          <w:color w:val="231F20"/>
          <w:position w:val="-15"/>
          <w:sz w:val="22"/>
        </w:rPr>
        <w:t>S </w:t>
      </w:r>
      <w:r>
        <w:rPr>
          <w:color w:val="231F20"/>
          <w:sz w:val="22"/>
        </w:rPr>
        <w:t>（ </w:t>
      </w:r>
      <w:r>
        <w:rPr>
          <w:rFonts w:ascii="Times New Roman" w:eastAsia="Times New Roman"/>
          <w:i/>
          <w:color w:val="231F20"/>
          <w:position w:val="1"/>
          <w:sz w:val="22"/>
        </w:rPr>
        <w:t>C</w:t>
      </w:r>
      <w:r>
        <w:rPr>
          <w:color w:val="231F20"/>
          <w:sz w:val="22"/>
        </w:rPr>
        <w:t>-</w:t>
      </w:r>
      <w:r>
        <w:rPr>
          <w:rFonts w:ascii="Times New Roman" w:eastAsia="Times New Roman"/>
          <w:i/>
          <w:color w:val="231F20"/>
          <w:position w:val="1"/>
          <w:sz w:val="22"/>
        </w:rPr>
        <w:t>F</w:t>
      </w:r>
      <w:r>
        <w:rPr>
          <w:color w:val="231F20"/>
          <w:position w:val="-3"/>
          <w:sz w:val="13"/>
        </w:rPr>
        <w:t>1</w:t>
      </w:r>
      <w:r>
        <w:rPr>
          <w:rFonts w:ascii="Times New Roman" w:eastAsia="Times New Roman"/>
          <w:i/>
          <w:color w:val="231F20"/>
          <w:position w:val="1"/>
          <w:sz w:val="22"/>
        </w:rPr>
        <w:t>S</w:t>
      </w:r>
      <w:r>
        <w:rPr>
          <w:color w:val="231F20"/>
          <w:sz w:val="22"/>
        </w:rPr>
        <w:t>）</w:t>
      </w:r>
    </w:p>
    <w:p>
      <w:pPr>
        <w:tabs>
          <w:tab w:pos="318" w:val="left" w:leader="none"/>
        </w:tabs>
        <w:spacing w:line="142" w:lineRule="exact" w:before="0"/>
        <w:ind w:left="0" w:right="136" w:firstLine="0"/>
        <w:jc w:val="center"/>
        <w:rPr>
          <w:sz w:val="13"/>
        </w:rPr>
      </w:pPr>
      <w:r>
        <w:rPr>
          <w:color w:val="231F20"/>
          <w:sz w:val="13"/>
        </w:rPr>
        <w:t>2</w:t>
        <w:tab/>
        <w:t>1</w:t>
      </w:r>
    </w:p>
    <w:p>
      <w:pPr>
        <w:pStyle w:val="BodyText"/>
        <w:spacing w:line="325" w:lineRule="exact" w:before="0"/>
        <w:ind w:left="557"/>
      </w:pPr>
      <w:r>
        <w:rPr>
          <w:color w:val="231F20"/>
        </w:rPr>
        <w:t>式中：</w:t>
      </w:r>
    </w:p>
    <w:p>
      <w:pPr>
        <w:pStyle w:val="BodyText"/>
        <w:spacing w:line="304" w:lineRule="auto"/>
        <w:ind w:left="557" w:right="4871"/>
      </w:pPr>
      <w:r>
        <w:rPr>
          <w:rFonts w:ascii="Times New Roman" w:hAnsi="Times New Roman" w:eastAsia="Times New Roman"/>
          <w:i/>
          <w:color w:val="231F20"/>
          <w:position w:val="1"/>
        </w:rPr>
        <w:t>R</w:t>
      </w:r>
      <w:r>
        <w:rPr>
          <w:color w:val="231F20"/>
        </w:rPr>
        <w:t>——每次进度付款中累计扣回的金额； </w:t>
      </w:r>
      <w:r>
        <w:rPr>
          <w:rFonts w:ascii="Times New Roman" w:hAnsi="Times New Roman" w:eastAsia="Times New Roman"/>
          <w:i/>
          <w:color w:val="231F20"/>
          <w:position w:val="1"/>
        </w:rPr>
        <w:t>A</w:t>
      </w:r>
      <w:r>
        <w:rPr>
          <w:color w:val="231F20"/>
        </w:rPr>
        <w:t>—— 工 程 预 付 款 总 金 额 ；</w:t>
      </w:r>
      <w:r>
        <w:rPr>
          <w:color w:val="231F20"/>
          <w:position w:val="1"/>
        </w:rPr>
        <w:t>      </w:t>
      </w:r>
      <w:r>
        <w:rPr>
          <w:rFonts w:ascii="Times New Roman" w:hAnsi="Times New Roman" w:eastAsia="Times New Roman"/>
          <w:i/>
          <w:color w:val="231F20"/>
          <w:position w:val="1"/>
        </w:rPr>
        <w:t>S</w:t>
      </w:r>
      <w:r>
        <w:rPr>
          <w:color w:val="231F20"/>
        </w:rPr>
        <w:t>—— 合 同 价 格 ；</w:t>
      </w:r>
      <w:r>
        <w:rPr>
          <w:color w:val="231F20"/>
          <w:position w:val="1"/>
        </w:rPr>
        <w:t>                          </w:t>
      </w:r>
      <w:r>
        <w:rPr>
          <w:rFonts w:ascii="Times New Roman" w:hAnsi="Times New Roman" w:eastAsia="Times New Roman"/>
          <w:i/>
          <w:color w:val="231F20"/>
          <w:position w:val="1"/>
        </w:rPr>
        <w:t>C</w:t>
      </w:r>
      <w:r>
        <w:rPr>
          <w:color w:val="231F20"/>
        </w:rPr>
        <w:t>——合同累计完成金额；</w:t>
      </w:r>
    </w:p>
    <w:p>
      <w:pPr>
        <w:pStyle w:val="BodyText"/>
        <w:spacing w:line="295" w:lineRule="auto" w:before="16"/>
        <w:ind w:left="557" w:right="1068"/>
        <w:jc w:val="both"/>
      </w:pPr>
      <w:r>
        <w:rPr>
          <w:rFonts w:ascii="Times New Roman" w:hAnsi="Times New Roman" w:eastAsia="Times New Roman"/>
          <w:i/>
          <w:color w:val="231F20"/>
          <w:position w:val="1"/>
        </w:rPr>
        <w:t>F</w:t>
      </w:r>
      <w:r>
        <w:rPr>
          <w:color w:val="231F20"/>
          <w:position w:val="-3"/>
          <w:sz w:val="13"/>
        </w:rPr>
        <w:t>1</w:t>
      </w:r>
      <w:r>
        <w:rPr>
          <w:color w:val="231F20"/>
        </w:rPr>
        <w:t>——按专用合同条款规定开始扣款时合同累计完成金额达到合同价格的比例； </w:t>
      </w:r>
      <w:r>
        <w:rPr>
          <w:rFonts w:ascii="Times New Roman" w:hAnsi="Times New Roman" w:eastAsia="Times New Roman"/>
          <w:i/>
          <w:color w:val="231F20"/>
          <w:position w:val="1"/>
        </w:rPr>
        <w:t>F</w:t>
      </w:r>
      <w:r>
        <w:rPr>
          <w:color w:val="231F20"/>
          <w:position w:val="-3"/>
          <w:sz w:val="13"/>
        </w:rPr>
        <w:t>2</w:t>
      </w:r>
      <w:r>
        <w:rPr>
          <w:color w:val="231F20"/>
        </w:rPr>
        <w:t>——按专用合同条款规定全部扣清时合同累计完成金额达到合同价格的比例。上述合同累计完成金额均指价格调整前未扣保留金的金额。</w:t>
      </w:r>
    </w:p>
    <w:p>
      <w:pPr>
        <w:pStyle w:val="ListParagraph"/>
        <w:numPr>
          <w:ilvl w:val="1"/>
          <w:numId w:val="5"/>
        </w:numPr>
        <w:tabs>
          <w:tab w:pos="1158" w:val="left" w:leader="none"/>
          <w:tab w:pos="1159" w:val="left" w:leader="none"/>
        </w:tabs>
        <w:spacing w:line="240" w:lineRule="auto" w:before="31" w:after="0"/>
        <w:ind w:left="1158" w:right="0" w:hanging="601"/>
        <w:jc w:val="left"/>
        <w:rPr>
          <w:sz w:val="22"/>
        </w:rPr>
      </w:pPr>
      <w:r>
        <w:rPr>
          <w:color w:val="231F20"/>
          <w:sz w:val="22"/>
        </w:rPr>
        <w:t>工程材料预付款</w:t>
      </w:r>
    </w:p>
    <w:p>
      <w:pPr>
        <w:pStyle w:val="BodyText"/>
        <w:spacing w:line="304" w:lineRule="auto"/>
        <w:ind w:right="99" w:firstLine="330"/>
      </w:pPr>
      <w:r>
        <w:rPr>
          <w:color w:val="231F20"/>
        </w:rPr>
        <w:t>（ 1）专用合同条款中规定的工程主要材料到达工地并满足以下条件后，承包人可向监理人提交材料预付款支付申请单，要求给予材料预付款。</w:t>
      </w:r>
    </w:p>
    <w:p>
      <w:pPr>
        <w:pStyle w:val="BodyText"/>
        <w:spacing w:before="20"/>
        <w:ind w:left="557"/>
      </w:pPr>
      <w:r>
        <w:rPr>
          <w:color w:val="231F20"/>
        </w:rPr>
        <w:t>①材料的质量和储存条件符合《技术条款》的要求；</w:t>
      </w:r>
    </w:p>
    <w:p>
      <w:pPr>
        <w:pStyle w:val="BodyText"/>
        <w:spacing w:before="88"/>
        <w:ind w:left="557"/>
      </w:pPr>
      <w:r>
        <w:rPr>
          <w:color w:val="231F20"/>
        </w:rPr>
        <w:t>②材料已到达工地，并经承包人和监理人共同验点入库；</w:t>
      </w:r>
    </w:p>
    <w:p>
      <w:pPr>
        <w:pStyle w:val="BodyText"/>
        <w:spacing w:before="88"/>
        <w:ind w:left="557"/>
      </w:pPr>
      <w:r>
        <w:rPr>
          <w:color w:val="231F20"/>
        </w:rPr>
        <w:t>③承包人应按监理人的要求提交材料的订货单、收据或价格证明文件。</w:t>
      </w:r>
    </w:p>
    <w:p>
      <w:pPr>
        <w:pStyle w:val="BodyText"/>
        <w:spacing w:before="88"/>
        <w:ind w:left="447"/>
      </w:pPr>
      <w:r>
        <w:rPr>
          <w:color w:val="231F20"/>
        </w:rPr>
        <w:t>（ 2）预付款金额为经监理人审核后的实际材料价的 90％，在月进度付款中支付。</w:t>
      </w:r>
    </w:p>
    <w:p>
      <w:pPr>
        <w:pStyle w:val="BodyText"/>
        <w:spacing w:before="88"/>
        <w:ind w:left="447"/>
      </w:pPr>
      <w:r>
        <w:rPr>
          <w:color w:val="231F20"/>
        </w:rPr>
        <w:t>（ 3）预付款从付款月后的 6 个月内在月进度付款中每月按该预付款金额的 1/6 平均扣还。</w:t>
      </w:r>
    </w:p>
    <w:p>
      <w:pPr>
        <w:spacing w:after="0"/>
        <w:sectPr>
          <w:pgSz w:w="11910" w:h="16840"/>
          <w:pgMar w:header="0" w:footer="832" w:top="1580" w:bottom="1020" w:left="1300" w:right="1300"/>
        </w:sectPr>
      </w:pPr>
    </w:p>
    <w:p>
      <w:pPr>
        <w:pStyle w:val="ListParagraph"/>
        <w:numPr>
          <w:ilvl w:val="0"/>
          <w:numId w:val="5"/>
        </w:numPr>
        <w:tabs>
          <w:tab w:pos="1021" w:val="left" w:leader="none"/>
          <w:tab w:pos="1022" w:val="left" w:leader="none"/>
        </w:tabs>
        <w:spacing w:line="240" w:lineRule="auto" w:before="18"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工程进度付款</w:t>
      </w:r>
    </w:p>
    <w:p>
      <w:pPr>
        <w:pStyle w:val="ListParagraph"/>
        <w:numPr>
          <w:ilvl w:val="1"/>
          <w:numId w:val="5"/>
        </w:numPr>
        <w:tabs>
          <w:tab w:pos="1158" w:val="left" w:leader="none"/>
          <w:tab w:pos="1159" w:val="left" w:leader="none"/>
        </w:tabs>
        <w:spacing w:line="240" w:lineRule="auto" w:before="102" w:after="0"/>
        <w:ind w:left="1158" w:right="0" w:hanging="601"/>
        <w:jc w:val="left"/>
        <w:rPr>
          <w:sz w:val="22"/>
        </w:rPr>
      </w:pPr>
      <w:r>
        <w:rPr>
          <w:color w:val="231F20"/>
          <w:sz w:val="22"/>
        </w:rPr>
        <w:t>月进度付款申请单</w:t>
      </w:r>
    </w:p>
    <w:p>
      <w:pPr>
        <w:pStyle w:val="BodyText"/>
        <w:ind w:left="557"/>
      </w:pPr>
      <w:r>
        <w:rPr>
          <w:color w:val="231F20"/>
          <w:spacing w:val="10"/>
        </w:rPr>
        <w:t>承包人应在每月末按监理人规定的格式提交月进度付款申请单</w:t>
      </w:r>
      <w:r>
        <w:rPr>
          <w:color w:val="231F20"/>
          <w:spacing w:val="10"/>
        </w:rPr>
        <w:t>（</w:t>
      </w:r>
      <w:r>
        <w:rPr>
          <w:color w:val="231F20"/>
          <w:spacing w:val="3"/>
        </w:rPr>
        <w:t>一式 </w:t>
      </w:r>
      <w:r>
        <w:rPr>
          <w:color w:val="231F20"/>
        </w:rPr>
        <w:t>4</w:t>
      </w:r>
      <w:r>
        <w:rPr>
          <w:color w:val="231F20"/>
          <w:spacing w:val="5"/>
        </w:rPr>
        <w:t> 份</w:t>
      </w:r>
      <w:r>
        <w:rPr>
          <w:color w:val="231F20"/>
          <w:spacing w:val="-110"/>
        </w:rPr>
        <w:t>）</w:t>
      </w:r>
      <w:r>
        <w:rPr>
          <w:color w:val="231F20"/>
          <w:spacing w:val="10"/>
        </w:rPr>
        <w:t>，并附有第</w:t>
      </w:r>
    </w:p>
    <w:p>
      <w:pPr>
        <w:pStyle w:val="BodyText"/>
      </w:pPr>
      <w:r>
        <w:rPr>
          <w:color w:val="231F20"/>
        </w:rPr>
        <w:t>31.2 款规定的完成工程量月报表。该申请单应包括以下内容：</w:t>
      </w:r>
    </w:p>
    <w:p>
      <w:pPr>
        <w:pStyle w:val="BodyText"/>
        <w:ind w:left="447"/>
      </w:pPr>
      <w:r>
        <w:rPr>
          <w:color w:val="231F20"/>
        </w:rPr>
        <w:t>（ 1）已完成的《工程量清单》中的工程项目及其他项目的应付金额。</w:t>
      </w:r>
    </w:p>
    <w:p>
      <w:pPr>
        <w:pStyle w:val="BodyText"/>
        <w:ind w:left="447"/>
      </w:pPr>
      <w:r>
        <w:rPr>
          <w:color w:val="231F20"/>
        </w:rPr>
        <w:t>（ 2）经监理人签认的当月计日工支付凭证标明的应付金额。</w:t>
      </w:r>
    </w:p>
    <w:p>
      <w:pPr>
        <w:pStyle w:val="BodyText"/>
        <w:ind w:left="447"/>
      </w:pPr>
      <w:r>
        <w:rPr>
          <w:color w:val="231F20"/>
        </w:rPr>
        <w:t>（ 3）按第 32.2 款规定的工程材料预付款金额。</w:t>
      </w:r>
    </w:p>
    <w:p>
      <w:pPr>
        <w:pStyle w:val="BodyText"/>
        <w:ind w:left="447"/>
      </w:pPr>
      <w:r>
        <w:rPr>
          <w:color w:val="231F20"/>
        </w:rPr>
        <w:t>（ 4）根据第 37 条和第 38 条规定的价格调整金额。</w:t>
      </w:r>
    </w:p>
    <w:p>
      <w:pPr>
        <w:pStyle w:val="BodyText"/>
        <w:ind w:left="447"/>
      </w:pPr>
      <w:r>
        <w:rPr>
          <w:color w:val="231F20"/>
        </w:rPr>
        <w:t>（ 5）根据合同规定承包人应有权得到的其他金额。</w:t>
      </w:r>
    </w:p>
    <w:p>
      <w:pPr>
        <w:pStyle w:val="BodyText"/>
        <w:ind w:left="447"/>
      </w:pPr>
      <w:r>
        <w:rPr>
          <w:color w:val="231F20"/>
        </w:rPr>
        <w:t>（ 6）扣除按第 32 条规定应由发包人扣还的工程预付款和工程材料预付款金额。</w:t>
      </w:r>
    </w:p>
    <w:p>
      <w:pPr>
        <w:pStyle w:val="BodyText"/>
        <w:ind w:left="447"/>
      </w:pPr>
      <w:r>
        <w:rPr>
          <w:color w:val="231F20"/>
        </w:rPr>
        <w:t>（ 7）扣除按第 34 条规定应由发包人扣留的保留金金额。</w:t>
      </w:r>
    </w:p>
    <w:p>
      <w:pPr>
        <w:pStyle w:val="BodyText"/>
        <w:ind w:left="447"/>
      </w:pPr>
      <w:r>
        <w:rPr>
          <w:color w:val="231F20"/>
        </w:rPr>
        <w:t>（ 8）扣除按合同规定应由承包人付给发包人的其他金额。</w:t>
      </w:r>
    </w:p>
    <w:p>
      <w:pPr>
        <w:pStyle w:val="ListParagraph"/>
        <w:numPr>
          <w:ilvl w:val="1"/>
          <w:numId w:val="6"/>
        </w:numPr>
        <w:tabs>
          <w:tab w:pos="1158" w:val="left" w:leader="none"/>
          <w:tab w:pos="1159" w:val="left" w:leader="none"/>
        </w:tabs>
        <w:spacing w:line="240" w:lineRule="auto" w:before="89" w:after="0"/>
        <w:ind w:left="1158" w:right="0" w:hanging="601"/>
        <w:jc w:val="left"/>
        <w:rPr>
          <w:sz w:val="22"/>
        </w:rPr>
      </w:pPr>
      <w:r>
        <w:rPr>
          <w:color w:val="231F20"/>
          <w:sz w:val="22"/>
        </w:rPr>
        <w:t>月进度付款证书</w:t>
      </w:r>
    </w:p>
    <w:p>
      <w:pPr>
        <w:pStyle w:val="BodyText"/>
        <w:spacing w:line="304" w:lineRule="auto"/>
        <w:ind w:right="93" w:firstLine="440"/>
      </w:pPr>
      <w:r>
        <w:rPr>
          <w:color w:val="231F20"/>
        </w:rPr>
        <w:t>监理人在收到月进度付款申请单后的 14 天内完成核查，并向发包人出具月进度付款证书， 提出他认为应当到期支付给承包人的金额。</w:t>
      </w:r>
    </w:p>
    <w:p>
      <w:pPr>
        <w:pStyle w:val="ListParagraph"/>
        <w:numPr>
          <w:ilvl w:val="1"/>
          <w:numId w:val="6"/>
        </w:numPr>
        <w:tabs>
          <w:tab w:pos="1158" w:val="left" w:leader="none"/>
          <w:tab w:pos="1159" w:val="left" w:leader="none"/>
        </w:tabs>
        <w:spacing w:line="240" w:lineRule="auto" w:before="21" w:after="0"/>
        <w:ind w:left="1158" w:right="0" w:hanging="601"/>
        <w:jc w:val="left"/>
        <w:rPr>
          <w:sz w:val="22"/>
        </w:rPr>
      </w:pPr>
      <w:r>
        <w:rPr>
          <w:color w:val="231F20"/>
          <w:sz w:val="22"/>
        </w:rPr>
        <w:t>工程进度付款的修正和更改</w:t>
      </w:r>
    </w:p>
    <w:p>
      <w:pPr>
        <w:pStyle w:val="BodyText"/>
        <w:spacing w:line="304" w:lineRule="auto"/>
        <w:ind w:right="212" w:firstLine="440"/>
        <w:jc w:val="both"/>
      </w:pPr>
      <w:r>
        <w:rPr>
          <w:color w:val="231F20"/>
        </w:rPr>
        <w:t>监理人有权通过对以往历次已签证的月进度付款证书的汇总和复核中发现的错、漏或重复</w:t>
      </w:r>
      <w:r>
        <w:rPr>
          <w:color w:val="231F20"/>
          <w:spacing w:val="-7"/>
        </w:rPr>
        <w:t>进行修正或更改；承包人亦有权提出此类修正或更改。经双方复核同意的此类修正或更改，应列入月进度付款证书中予以支付或扣除。</w:t>
      </w:r>
    </w:p>
    <w:p>
      <w:pPr>
        <w:pStyle w:val="ListParagraph"/>
        <w:numPr>
          <w:ilvl w:val="1"/>
          <w:numId w:val="6"/>
        </w:numPr>
        <w:tabs>
          <w:tab w:pos="1158" w:val="left" w:leader="none"/>
          <w:tab w:pos="1159" w:val="left" w:leader="none"/>
        </w:tabs>
        <w:spacing w:line="240" w:lineRule="auto" w:before="20" w:after="0"/>
        <w:ind w:left="1158" w:right="0" w:hanging="601"/>
        <w:jc w:val="left"/>
        <w:rPr>
          <w:sz w:val="22"/>
        </w:rPr>
      </w:pPr>
      <w:r>
        <w:rPr>
          <w:color w:val="231F20"/>
          <w:sz w:val="22"/>
        </w:rPr>
        <w:t>支付时间</w:t>
      </w:r>
    </w:p>
    <w:p>
      <w:pPr>
        <w:pStyle w:val="BodyText"/>
        <w:spacing w:line="304" w:lineRule="auto" w:before="88"/>
        <w:ind w:right="209" w:firstLine="440"/>
        <w:jc w:val="both"/>
      </w:pPr>
      <w:r>
        <w:rPr>
          <w:color w:val="231F20"/>
        </w:rPr>
        <w:t>发包人收到监理人签证的月进度付款证书并审批后支付给承包人，支付时间不应超过监理人收到月进度付款申请单后 28 天。若不按期支付，则应从逾期第一天起按专用合同条款中规定的逾期付款违约金加付给承包人。</w:t>
      </w:r>
    </w:p>
    <w:p>
      <w:pPr>
        <w:pStyle w:val="ListParagraph"/>
        <w:numPr>
          <w:ilvl w:val="1"/>
          <w:numId w:val="6"/>
        </w:numPr>
        <w:tabs>
          <w:tab w:pos="1158" w:val="left" w:leader="none"/>
          <w:tab w:pos="1159" w:val="left" w:leader="none"/>
        </w:tabs>
        <w:spacing w:line="240" w:lineRule="auto" w:before="20" w:after="0"/>
        <w:ind w:left="1158" w:right="0" w:hanging="601"/>
        <w:jc w:val="left"/>
        <w:rPr>
          <w:sz w:val="22"/>
        </w:rPr>
      </w:pPr>
      <w:r>
        <w:rPr>
          <w:color w:val="231F20"/>
          <w:sz w:val="22"/>
        </w:rPr>
        <w:t>总价承包项目的支付</w:t>
      </w:r>
    </w:p>
    <w:p>
      <w:pPr>
        <w:pStyle w:val="BodyText"/>
        <w:spacing w:line="304" w:lineRule="auto"/>
        <w:ind w:right="203" w:firstLine="440"/>
      </w:pPr>
      <w:r>
        <w:rPr>
          <w:color w:val="231F20"/>
        </w:rPr>
        <w:t>工程量清单中的总价承包项目，应按第 31.5 款规定的总价承包项目分解表统计实际完成情况，确定分项的应付金额列入第 33.1 款第（ 1）项内进行支付。</w:t>
      </w:r>
    </w:p>
    <w:p>
      <w:pPr>
        <w:pStyle w:val="ListParagraph"/>
        <w:numPr>
          <w:ilvl w:val="0"/>
          <w:numId w:val="6"/>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保留金</w:t>
      </w:r>
    </w:p>
    <w:p>
      <w:pPr>
        <w:pStyle w:val="BodyText"/>
        <w:spacing w:line="304" w:lineRule="auto" w:before="102"/>
        <w:ind w:right="213" w:firstLine="330"/>
        <w:jc w:val="both"/>
      </w:pPr>
      <w:r>
        <w:rPr>
          <w:color w:val="231F20"/>
        </w:rPr>
        <w:t>（ 1）监理人应从第一个月开始，在给承包人的月进度付款中扣留按专用合同条款规定百分</w:t>
      </w:r>
      <w:r>
        <w:rPr>
          <w:color w:val="231F20"/>
          <w:spacing w:val="2"/>
        </w:rPr>
        <w:t>比的金额作为保留金</w:t>
      </w:r>
      <w:r>
        <w:rPr>
          <w:color w:val="231F20"/>
          <w:spacing w:val="3"/>
        </w:rPr>
        <w:t>（其计算额度不包括预付款和价格调整金额</w:t>
      </w:r>
      <w:r>
        <w:rPr>
          <w:color w:val="231F20"/>
          <w:spacing w:val="-110"/>
        </w:rPr>
        <w:t>）</w:t>
      </w:r>
      <w:r>
        <w:rPr>
          <w:color w:val="231F20"/>
          <w:spacing w:val="3"/>
        </w:rPr>
        <w:t>，直至扣留的保留金总额达</w:t>
      </w:r>
      <w:r>
        <w:rPr>
          <w:color w:val="231F20"/>
        </w:rPr>
        <w:t>到专用合同条款规定的数额为止。</w:t>
      </w:r>
    </w:p>
    <w:p>
      <w:pPr>
        <w:pStyle w:val="BodyText"/>
        <w:spacing w:line="304" w:lineRule="auto" w:before="21"/>
        <w:ind w:right="199" w:firstLine="330"/>
      </w:pPr>
      <w:r>
        <w:rPr>
          <w:color w:val="231F20"/>
        </w:rPr>
        <w:t>（ 2）在签发本合同工程移交证书后 14 天内，由监理人出具保留金付款证书，发包人将保留金总额的一半支付给承包人。</w:t>
      </w:r>
    </w:p>
    <w:p>
      <w:pPr>
        <w:pStyle w:val="BodyText"/>
        <w:spacing w:before="21"/>
        <w:ind w:left="447"/>
      </w:pPr>
      <w:r>
        <w:rPr>
          <w:color w:val="231F20"/>
        </w:rPr>
        <w:t>（ 3）在单位工程验收并签发移交证书后，将其相应的保留金总额的一半在月进度付款中支</w:t>
      </w:r>
    </w:p>
    <w:p>
      <w:pPr>
        <w:spacing w:after="0"/>
        <w:sectPr>
          <w:pgSz w:w="11910" w:h="16840"/>
          <w:pgMar w:header="0" w:footer="832" w:top="1580" w:bottom="1020" w:left="1300" w:right="1200"/>
        </w:sectPr>
      </w:pPr>
    </w:p>
    <w:p>
      <w:pPr>
        <w:pStyle w:val="BodyText"/>
        <w:spacing w:before="24"/>
      </w:pPr>
      <w:r>
        <w:rPr>
          <w:color w:val="231F20"/>
        </w:rPr>
        <w:t>付给承包人。</w:t>
      </w:r>
    </w:p>
    <w:p>
      <w:pPr>
        <w:pStyle w:val="BodyText"/>
        <w:spacing w:line="304" w:lineRule="auto"/>
        <w:ind w:right="112" w:firstLine="330"/>
        <w:jc w:val="both"/>
      </w:pPr>
      <w:r>
        <w:rPr>
          <w:color w:val="231F20"/>
        </w:rPr>
        <w:t>（ 4）监理人在本合同全部工程的保修期满时，出具为支付剩余保留金的付款证书。发包人应在收到上述付款证书后 14 天内将剩余的保留金支付给承包人。若保修期满时尚需承包人完成剩余工作，则监理人有权在付款证书中扣留与剩余工作所需金额相应的保留金余额。</w:t>
      </w:r>
    </w:p>
    <w:p>
      <w:pPr>
        <w:pStyle w:val="ListParagraph"/>
        <w:numPr>
          <w:ilvl w:val="0"/>
          <w:numId w:val="6"/>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完工结算</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完工付款申请单</w:t>
      </w:r>
    </w:p>
    <w:p>
      <w:pPr>
        <w:pStyle w:val="BodyText"/>
        <w:ind w:left="557"/>
      </w:pPr>
      <w:r>
        <w:rPr>
          <w:color w:val="231F20"/>
        </w:rPr>
        <w:t>在本合同工程移交证书颁发后的 28 天内，承包人应按监理人批准的格式提交一份完工付</w:t>
      </w:r>
    </w:p>
    <w:p>
      <w:pPr>
        <w:pStyle w:val="BodyText"/>
      </w:pPr>
      <w:r>
        <w:rPr>
          <w:color w:val="231F20"/>
        </w:rPr>
        <w:t>款申请单（一式 4 份</w:t>
      </w:r>
      <w:r>
        <w:rPr>
          <w:color w:val="231F20"/>
          <w:spacing w:val="-110"/>
        </w:rPr>
        <w:t>）</w:t>
      </w:r>
      <w:r>
        <w:rPr>
          <w:color w:val="231F20"/>
        </w:rPr>
        <w:t>，并附有下述内容的详细证明文件。</w:t>
      </w:r>
    </w:p>
    <w:p>
      <w:pPr>
        <w:pStyle w:val="BodyText"/>
        <w:ind w:left="447"/>
      </w:pPr>
      <w:r>
        <w:rPr>
          <w:color w:val="231F20"/>
        </w:rPr>
        <w:t>（ 1）至移交证书注明的完工日期止，根据合同所累计完成的全部工程价款金额。</w:t>
      </w:r>
    </w:p>
    <w:p>
      <w:pPr>
        <w:pStyle w:val="BodyText"/>
        <w:ind w:left="447"/>
      </w:pPr>
      <w:r>
        <w:rPr>
          <w:color w:val="231F20"/>
        </w:rPr>
        <w:t>（ 2）承包人认为根据合同应支付给他的追加金额和其他金额。</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完工付款证书及支付时间</w:t>
      </w:r>
    </w:p>
    <w:p>
      <w:pPr>
        <w:pStyle w:val="BodyText"/>
        <w:spacing w:line="304" w:lineRule="auto"/>
        <w:ind w:right="113" w:firstLine="440"/>
        <w:jc w:val="both"/>
      </w:pPr>
      <w:r>
        <w:rPr>
          <w:color w:val="231F20"/>
        </w:rPr>
        <w:t>监理人应在收到承包人提交的完工付款申请单后的 28 天内完成复核，并与承包人协商修改后，在完工付款申请单上签字和出具完工付款证书报送发包人审批。发包人应在收到上述完工付款证书后的 42 天内审批后支付给承包人。若发包人不按期支付，则应按第 33.4 款规定的相同办法将逾期付款违约金加付给承包人。</w:t>
      </w:r>
    </w:p>
    <w:p>
      <w:pPr>
        <w:pStyle w:val="ListParagraph"/>
        <w:numPr>
          <w:ilvl w:val="0"/>
          <w:numId w:val="7"/>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最终结清</w:t>
      </w:r>
    </w:p>
    <w:p>
      <w:pPr>
        <w:pStyle w:val="ListParagraph"/>
        <w:numPr>
          <w:ilvl w:val="1"/>
          <w:numId w:val="7"/>
        </w:numPr>
        <w:tabs>
          <w:tab w:pos="1158" w:val="left" w:leader="none"/>
          <w:tab w:pos="1159" w:val="left" w:leader="none"/>
        </w:tabs>
        <w:spacing w:line="240" w:lineRule="auto" w:before="101" w:after="0"/>
        <w:ind w:left="1158" w:right="0" w:hanging="601"/>
        <w:jc w:val="left"/>
        <w:rPr>
          <w:sz w:val="22"/>
        </w:rPr>
      </w:pPr>
      <w:r>
        <w:rPr>
          <w:color w:val="231F20"/>
          <w:sz w:val="22"/>
        </w:rPr>
        <w:t>最终付款申请单</w:t>
      </w:r>
    </w:p>
    <w:p>
      <w:pPr>
        <w:pStyle w:val="BodyText"/>
        <w:spacing w:before="88"/>
        <w:ind w:left="447"/>
      </w:pPr>
      <w:r>
        <w:rPr>
          <w:color w:val="231F20"/>
        </w:rPr>
        <w:t>（ 1）承包人在收到按第 53.3 款规定颁发的保修责任终止证书后的 28 天内，按监理人批准</w:t>
      </w:r>
    </w:p>
    <w:p>
      <w:pPr>
        <w:pStyle w:val="BodyText"/>
        <w:spacing w:line="304" w:lineRule="auto" w:before="88"/>
        <w:ind w:right="103"/>
      </w:pPr>
      <w:r>
        <w:rPr>
          <w:color w:val="231F20"/>
          <w:spacing w:val="2"/>
        </w:rPr>
        <w:t>的格式向监理人提交一份最终付款申请单</w:t>
      </w:r>
      <w:r>
        <w:rPr>
          <w:color w:val="231F20"/>
          <w:spacing w:val="3"/>
        </w:rPr>
        <w:t>（</w:t>
      </w:r>
      <w:r>
        <w:rPr>
          <w:color w:val="231F20"/>
          <w:spacing w:val="0"/>
        </w:rPr>
        <w:t>一式 </w:t>
      </w:r>
      <w:r>
        <w:rPr>
          <w:color w:val="231F20"/>
        </w:rPr>
        <w:t>4</w:t>
      </w:r>
      <w:r>
        <w:rPr>
          <w:color w:val="231F20"/>
          <w:spacing w:val="1"/>
        </w:rPr>
        <w:t> 份</w:t>
      </w:r>
      <w:r>
        <w:rPr>
          <w:color w:val="231F20"/>
          <w:spacing w:val="-110"/>
        </w:rPr>
        <w:t>）</w:t>
      </w:r>
      <w:r>
        <w:rPr>
          <w:color w:val="231F20"/>
        </w:rPr>
        <w:t>，该申请单应包括以下内容，并附有关的证明文件。</w:t>
      </w:r>
    </w:p>
    <w:p>
      <w:pPr>
        <w:pStyle w:val="BodyText"/>
        <w:spacing w:before="20"/>
        <w:ind w:left="557"/>
      </w:pPr>
      <w:r>
        <w:rPr>
          <w:color w:val="231F20"/>
        </w:rPr>
        <w:t>①按合同规定已经完成的全部工程价款金额；</w:t>
      </w:r>
    </w:p>
    <w:p>
      <w:pPr>
        <w:pStyle w:val="BodyText"/>
        <w:ind w:left="557"/>
      </w:pPr>
      <w:r>
        <w:rPr>
          <w:color w:val="231F20"/>
        </w:rPr>
        <w:t>②按合同规定应付给承包人的追加金额；</w:t>
      </w:r>
    </w:p>
    <w:p>
      <w:pPr>
        <w:pStyle w:val="BodyText"/>
        <w:ind w:left="557"/>
      </w:pPr>
      <w:r>
        <w:rPr>
          <w:color w:val="231F20"/>
        </w:rPr>
        <w:t>③承包人认为应付给他的其他金额。</w:t>
      </w:r>
    </w:p>
    <w:p>
      <w:pPr>
        <w:pStyle w:val="BodyText"/>
        <w:spacing w:line="304" w:lineRule="auto"/>
        <w:ind w:right="99" w:firstLine="330"/>
      </w:pPr>
      <w:r>
        <w:rPr>
          <w:color w:val="231F20"/>
        </w:rPr>
        <w:t>（ 2）若监理人对最终付款申请单中的某些内容有异议时，有权要求承包人进行修改和提供补充资料，直至监理人同意后，由承包人再次提交经修改后的最终付款申请单。</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结清单</w:t>
      </w:r>
    </w:p>
    <w:p>
      <w:pPr>
        <w:pStyle w:val="BodyText"/>
        <w:spacing w:line="304" w:lineRule="auto"/>
        <w:ind w:right="113" w:firstLine="440"/>
        <w:jc w:val="both"/>
      </w:pPr>
      <w:r>
        <w:rPr>
          <w:color w:val="231F20"/>
        </w:rPr>
        <w:t>承包人向监理人提交最终付款申请单的同时，应向发包人提交一份结清单，并将结清单的副本提交监理人。该结清单应证实最终付款申请单的总金额是根据合同规定应付给承包人的全部款项的最终结算金额。但结清单只在承包人收到退还履约担保证件和发包人已向承包人付清监理人出具的最终付款证书中应付的金额后才生效。</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最终付款证书和支付时间</w:t>
      </w:r>
    </w:p>
    <w:p>
      <w:pPr>
        <w:pStyle w:val="BodyText"/>
        <w:spacing w:line="304" w:lineRule="auto"/>
        <w:ind w:right="103" w:firstLine="440"/>
      </w:pPr>
      <w:r>
        <w:rPr>
          <w:color w:val="231F20"/>
        </w:rPr>
        <w:t>监理人收到经其同意的最终付款申请单和结清单副本后的 14 天内，向发包人出具一份最终付款证书提交发包人审批。最终付款证书应说明：</w:t>
      </w:r>
    </w:p>
    <w:p>
      <w:pPr>
        <w:spacing w:after="0" w:line="304" w:lineRule="auto"/>
        <w:sectPr>
          <w:pgSz w:w="11910" w:h="16840"/>
          <w:pgMar w:header="0" w:footer="832" w:top="1580" w:bottom="1020" w:left="1300" w:right="1300"/>
        </w:sectPr>
      </w:pPr>
    </w:p>
    <w:p>
      <w:pPr>
        <w:pStyle w:val="BodyText"/>
        <w:spacing w:before="24"/>
        <w:ind w:left="447"/>
      </w:pPr>
      <w:r>
        <w:rPr>
          <w:color w:val="231F20"/>
        </w:rPr>
        <w:t>（ 1）按合同规定和其他情况应最终支付给承包人的合同总金额。</w:t>
      </w:r>
    </w:p>
    <w:p>
      <w:pPr>
        <w:pStyle w:val="BodyText"/>
        <w:ind w:left="447"/>
      </w:pPr>
      <w:r>
        <w:rPr>
          <w:color w:val="231F20"/>
        </w:rPr>
        <w:t>（ 2）发包人已支付的所有金额以及发包人有权得到的全部金额。</w:t>
      </w:r>
    </w:p>
    <w:p>
      <w:pPr>
        <w:pStyle w:val="BodyText"/>
        <w:spacing w:line="304" w:lineRule="auto"/>
        <w:ind w:firstLine="440"/>
      </w:pPr>
      <w:r>
        <w:rPr>
          <w:color w:val="231F20"/>
        </w:rPr>
        <w:t>发包人审查监理人提交的最终付款证书后，若确认还应向承包人付款，则应在收到该证书后的 42 天内支付给承包人。若确认承包人应向发包人付款，则发包人应通知承包人，承包人</w:t>
      </w:r>
    </w:p>
    <w:p>
      <w:pPr>
        <w:pStyle w:val="BodyText"/>
        <w:spacing w:before="21"/>
      </w:pPr>
      <w:r>
        <w:rPr>
          <w:color w:val="231F20"/>
        </w:rPr>
        <w:t>应在收到通知后的 42 天内付还给发包人。不论是发包人或承包人，若不按期支付，均应按专</w:t>
      </w:r>
    </w:p>
    <w:p>
      <w:pPr>
        <w:pStyle w:val="BodyText"/>
      </w:pPr>
      <w:r>
        <w:rPr>
          <w:color w:val="231F20"/>
        </w:rPr>
        <w:t>用合同条款第 33.4 款规定的相同办法将逾期付款违约金加付给对方。</w:t>
      </w:r>
    </w:p>
    <w:p>
      <w:pPr>
        <w:pStyle w:val="BodyText"/>
        <w:spacing w:line="304" w:lineRule="auto"/>
        <w:ind w:right="116" w:firstLine="440"/>
        <w:jc w:val="both"/>
      </w:pPr>
      <w:r>
        <w:rPr>
          <w:color w:val="231F20"/>
        </w:rPr>
        <w:t>若承包人和发包人始终未能就最终付款的内容和额度取得一致意见，监理人应对双方已同意的部分出具临时付款证书，双方应按上述规定执行，对于未取得一致的部分，双方均有权按第 44.1 款的规定提出按合同争议处理的要求。</w:t>
      </w:r>
    </w:p>
    <w:p>
      <w:pPr>
        <w:pStyle w:val="Heading2"/>
      </w:pPr>
      <w:r>
        <w:rPr>
          <w:color w:val="231F20"/>
        </w:rPr>
        <w:t>十六、价格调整</w:t>
      </w:r>
    </w:p>
    <w:p>
      <w:pPr>
        <w:pStyle w:val="ListParagraph"/>
        <w:numPr>
          <w:ilvl w:val="0"/>
          <w:numId w:val="7"/>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物价波动引起的价格调整</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价格调整的差额计算</w:t>
      </w:r>
    </w:p>
    <w:p>
      <w:pPr>
        <w:pStyle w:val="BodyText"/>
        <w:ind w:left="557"/>
      </w:pPr>
      <w:r>
        <w:rPr/>
        <w:pict>
          <v:line style="position:absolute;mso-position-horizontal-relative:page;mso-position-vertical-relative:paragraph;z-index:-44296" from="320.033691pt,40.157612pt" to="344.482691pt,40.157612pt" stroked="true" strokeweight=".283pt" strokecolor="#231f20">
            <v:stroke dashstyle="solid"/>
            <w10:wrap type="none"/>
          </v:line>
        </w:pict>
      </w:r>
      <w:r>
        <w:rPr>
          <w:color w:val="231F20"/>
        </w:rPr>
        <w:t>因人工、材料和设备等价格波动影响合同价格时，按以下公式计算差额，调整合同价格。</w:t>
      </w:r>
    </w:p>
    <w:p>
      <w:pPr>
        <w:spacing w:after="0"/>
        <w:sectPr>
          <w:pgSz w:w="11910" w:h="16840"/>
          <w:pgMar w:header="0" w:footer="832" w:top="1580" w:bottom="1020" w:left="1300" w:right="1300"/>
        </w:sectPr>
      </w:pPr>
    </w:p>
    <w:p>
      <w:pPr>
        <w:spacing w:line="687" w:lineRule="exact" w:before="0"/>
        <w:ind w:left="3529" w:right="0" w:firstLine="0"/>
        <w:jc w:val="left"/>
        <w:rPr>
          <w:sz w:val="48"/>
        </w:rPr>
      </w:pPr>
      <w:r>
        <w:rPr>
          <w:rFonts w:ascii="Times New Roman" w:hAnsi="Times New Roman" w:eastAsia="Times New Roman"/>
          <w:i/>
          <w:color w:val="231F20"/>
          <w:sz w:val="22"/>
        </w:rPr>
        <w:t>∆P= </w:t>
      </w:r>
      <w:r>
        <w:rPr>
          <w:rFonts w:ascii="Times New Roman" w:hAnsi="Times New Roman" w:eastAsia="Times New Roman"/>
          <w:i/>
          <w:color w:val="231F20"/>
          <w:spacing w:val="-9"/>
          <w:sz w:val="22"/>
        </w:rPr>
        <w:t> </w:t>
      </w:r>
      <w:r>
        <w:rPr>
          <w:rFonts w:ascii="Times New Roman" w:hAnsi="Times New Roman" w:eastAsia="Times New Roman"/>
          <w:i/>
          <w:color w:val="231F20"/>
          <w:spacing w:val="-6"/>
          <w:sz w:val="22"/>
        </w:rPr>
        <w:t>P</w:t>
      </w:r>
      <w:r>
        <w:rPr>
          <w:rFonts w:ascii="Times New Roman" w:hAnsi="Times New Roman" w:eastAsia="Times New Roman"/>
          <w:color w:val="231F20"/>
          <w:spacing w:val="-17"/>
          <w:w w:val="98"/>
          <w:position w:val="-3"/>
          <w:sz w:val="13"/>
        </w:rPr>
        <w:t>0</w:t>
      </w:r>
      <w:r>
        <w:rPr>
          <w:color w:val="231F20"/>
          <w:spacing w:val="-6"/>
          <w:w w:val="45"/>
          <w:position w:val="-7"/>
          <w:sz w:val="48"/>
        </w:rPr>
        <w:t>（</w:t>
      </w:r>
    </w:p>
    <w:p>
      <w:pPr>
        <w:pStyle w:val="BodyText"/>
        <w:spacing w:before="162"/>
        <w:ind w:left="557"/>
      </w:pPr>
      <w:r>
        <w:rPr>
          <w:color w:val="231F20"/>
        </w:rPr>
        <w:t>式中：</w:t>
      </w:r>
      <w:r>
        <w:rPr>
          <w:rFonts w:ascii="Times New Roman" w:hAnsi="Times New Roman" w:eastAsia="Times New Roman"/>
          <w:i/>
          <w:color w:val="231F20"/>
          <w:position w:val="1"/>
        </w:rPr>
        <w:t>∆P</w:t>
      </w:r>
      <w:r>
        <w:rPr>
          <w:color w:val="231F20"/>
        </w:rPr>
        <w:t>——需调整的价格差额；</w:t>
      </w:r>
    </w:p>
    <w:p>
      <w:pPr>
        <w:pStyle w:val="BodyText"/>
        <w:spacing w:before="6"/>
        <w:ind w:left="0"/>
        <w:rPr>
          <w:sz w:val="16"/>
        </w:rPr>
      </w:pPr>
      <w:r>
        <w:rPr/>
        <w:br w:type="column"/>
      </w:r>
      <w:r>
        <w:rPr>
          <w:sz w:val="16"/>
        </w:rPr>
      </w:r>
    </w:p>
    <w:p>
      <w:pPr>
        <w:spacing w:before="0"/>
        <w:ind w:left="-13" w:right="0" w:firstLine="0"/>
        <w:jc w:val="left"/>
        <w:rPr>
          <w:rFonts w:ascii="Times New Roman" w:hAnsi="Times New Roman"/>
          <w:i/>
          <w:sz w:val="13"/>
        </w:rPr>
      </w:pPr>
      <w:r>
        <w:rPr>
          <w:rFonts w:ascii="Times New Roman" w:hAnsi="Times New Roman"/>
          <w:i/>
          <w:color w:val="231F20"/>
          <w:w w:val="95"/>
          <w:sz w:val="22"/>
        </w:rPr>
        <w:t>A+</w:t>
      </w:r>
      <w:r>
        <w:rPr>
          <w:rFonts w:ascii="Times New Roman" w:hAnsi="Times New Roman"/>
          <w:color w:val="231F20"/>
          <w:w w:val="95"/>
          <w:position w:val="1"/>
          <w:sz w:val="20"/>
        </w:rPr>
        <w:t>∑</w:t>
      </w:r>
      <w:r>
        <w:rPr>
          <w:rFonts w:ascii="Times New Roman" w:hAnsi="Times New Roman"/>
          <w:i/>
          <w:color w:val="231F20"/>
          <w:w w:val="95"/>
          <w:sz w:val="22"/>
        </w:rPr>
        <w:t>B</w:t>
      </w:r>
      <w:r>
        <w:rPr>
          <w:rFonts w:ascii="Times New Roman" w:hAnsi="Times New Roman"/>
          <w:i/>
          <w:color w:val="231F20"/>
          <w:w w:val="95"/>
          <w:position w:val="-3"/>
          <w:sz w:val="13"/>
        </w:rPr>
        <w:t>n</w:t>
      </w:r>
    </w:p>
    <w:p>
      <w:pPr>
        <w:spacing w:line="297" w:lineRule="auto" w:before="90"/>
        <w:ind w:left="73" w:right="-9" w:firstLine="14"/>
        <w:jc w:val="left"/>
        <w:rPr>
          <w:rFonts w:ascii="Times New Roman"/>
          <w:i/>
          <w:sz w:val="13"/>
        </w:rPr>
      </w:pPr>
      <w:r>
        <w:rPr/>
        <w:br w:type="column"/>
      </w:r>
      <w:r>
        <w:rPr>
          <w:rFonts w:ascii="Times New Roman"/>
          <w:i/>
          <w:color w:val="231F20"/>
          <w:position w:val="4"/>
          <w:sz w:val="22"/>
        </w:rPr>
        <w:t>F</w:t>
      </w:r>
      <w:r>
        <w:rPr>
          <w:rFonts w:ascii="Times New Roman"/>
          <w:i/>
          <w:color w:val="231F20"/>
          <w:sz w:val="13"/>
        </w:rPr>
        <w:t>tn </w:t>
      </w:r>
      <w:r>
        <w:rPr>
          <w:rFonts w:ascii="Times New Roman"/>
          <w:i/>
          <w:color w:val="231F20"/>
          <w:w w:val="95"/>
          <w:position w:val="4"/>
          <w:sz w:val="22"/>
        </w:rPr>
        <w:t>F</w:t>
      </w:r>
      <w:r>
        <w:rPr>
          <w:rFonts w:ascii="Times New Roman"/>
          <w:i/>
          <w:color w:val="231F20"/>
          <w:w w:val="95"/>
          <w:sz w:val="13"/>
        </w:rPr>
        <w:t>on</w:t>
      </w:r>
    </w:p>
    <w:p>
      <w:pPr>
        <w:spacing w:line="689" w:lineRule="exact" w:before="0"/>
        <w:ind w:left="73" w:right="0" w:firstLine="0"/>
        <w:jc w:val="left"/>
        <w:rPr>
          <w:sz w:val="48"/>
        </w:rPr>
      </w:pPr>
      <w:r>
        <w:rPr/>
        <w:br w:type="column"/>
      </w:r>
      <w:r>
        <w:rPr>
          <w:rFonts w:ascii="Times New Roman" w:eastAsia="Times New Roman"/>
          <w:i/>
          <w:color w:val="231F20"/>
          <w:sz w:val="22"/>
        </w:rPr>
        <w:t>-1</w:t>
      </w:r>
      <w:r>
        <w:rPr>
          <w:color w:val="231F20"/>
          <w:w w:val="45"/>
          <w:position w:val="-9"/>
          <w:sz w:val="48"/>
        </w:rPr>
        <w:t>）</w:t>
      </w:r>
    </w:p>
    <w:p>
      <w:pPr>
        <w:spacing w:after="0" w:line="689" w:lineRule="exact"/>
        <w:jc w:val="left"/>
        <w:rPr>
          <w:sz w:val="48"/>
        </w:rPr>
        <w:sectPr>
          <w:type w:val="continuous"/>
          <w:pgSz w:w="11910" w:h="16840"/>
          <w:pgMar w:top="1580" w:bottom="1020" w:left="1300" w:right="1300"/>
          <w:cols w:num="4" w:equalWidth="0">
            <w:col w:w="4450" w:space="40"/>
            <w:col w:w="612" w:space="39"/>
            <w:col w:w="336" w:space="39"/>
            <w:col w:w="3794"/>
          </w:cols>
        </w:sectPr>
      </w:pPr>
    </w:p>
    <w:p>
      <w:pPr>
        <w:pStyle w:val="BodyText"/>
        <w:spacing w:line="302" w:lineRule="auto"/>
        <w:ind w:left="1835" w:right="107" w:hanging="639"/>
        <w:jc w:val="both"/>
      </w:pPr>
      <w:r>
        <w:rPr>
          <w:rFonts w:ascii="Times New Roman" w:hAnsi="Times New Roman" w:eastAsia="Times New Roman"/>
          <w:i/>
          <w:color w:val="231F20"/>
          <w:position w:val="1"/>
        </w:rPr>
        <w:t>P</w:t>
      </w:r>
      <w:r>
        <w:rPr>
          <w:rFonts w:ascii="Times New Roman" w:hAnsi="Times New Roman" w:eastAsia="Times New Roman"/>
          <w:color w:val="231F20"/>
          <w:position w:val="-3"/>
          <w:sz w:val="13"/>
        </w:rPr>
        <w:t>0</w:t>
      </w:r>
      <w:r>
        <w:rPr>
          <w:color w:val="231F20"/>
        </w:rPr>
        <w:t>——按第 33.2 款、第 35.2 款和第 36.3 款规定的付款证书中承包人应得到的已完成工程量的金额（不包括价格调整，不计保留金的扣留和支付以及预付款的支付和扣还；对第 39 条规定的变更，若已按现行价格计价的亦不计在内）：</w:t>
      </w:r>
    </w:p>
    <w:p>
      <w:pPr>
        <w:pStyle w:val="BodyText"/>
        <w:spacing w:before="23"/>
        <w:ind w:left="1197"/>
      </w:pPr>
      <w:r>
        <w:rPr>
          <w:rFonts w:ascii="Times New Roman" w:hAnsi="Times New Roman" w:eastAsia="Times New Roman"/>
          <w:i/>
          <w:color w:val="231F20"/>
          <w:position w:val="1"/>
        </w:rPr>
        <w:t>A</w:t>
      </w:r>
      <w:r>
        <w:rPr>
          <w:color w:val="231F20"/>
        </w:rPr>
        <w:t>——定值权重（即不调部分的权重）；</w:t>
      </w:r>
    </w:p>
    <w:p>
      <w:pPr>
        <w:pStyle w:val="BodyText"/>
        <w:spacing w:line="300" w:lineRule="auto" w:before="88"/>
        <w:ind w:left="1835" w:hanging="639"/>
      </w:pPr>
      <w:r>
        <w:rPr>
          <w:rFonts w:ascii="Times New Roman" w:hAnsi="Times New Roman" w:eastAsia="Times New Roman"/>
          <w:i/>
          <w:color w:val="231F20"/>
          <w:position w:val="1"/>
        </w:rPr>
        <w:t>B</w:t>
      </w:r>
      <w:r>
        <w:rPr>
          <w:rFonts w:ascii="Times New Roman" w:hAnsi="Times New Roman" w:eastAsia="Times New Roman"/>
          <w:i/>
          <w:color w:val="231F20"/>
          <w:w w:val="98"/>
          <w:position w:val="-3"/>
          <w:sz w:val="13"/>
        </w:rPr>
        <w:t>n</w:t>
      </w:r>
      <w:r>
        <w:rPr>
          <w:color w:val="231F20"/>
        </w:rPr>
        <w:t>——各可调因子的变值权重</w:t>
      </w:r>
      <w:r>
        <w:rPr>
          <w:color w:val="231F20"/>
          <w:spacing w:val="5"/>
        </w:rPr>
        <w:t>（即可调部分的权重</w:t>
      </w:r>
      <w:r>
        <w:rPr>
          <w:color w:val="231F20"/>
          <w:spacing w:val="-111"/>
        </w:rPr>
        <w:t>）</w:t>
      </w:r>
      <w:r>
        <w:rPr>
          <w:color w:val="231F20"/>
          <w:spacing w:val="5"/>
        </w:rPr>
        <w:t>，为各可调因子在合同估算价</w:t>
      </w:r>
      <w:r>
        <w:rPr>
          <w:color w:val="231F20"/>
        </w:rPr>
        <w:t>中所占的比例；</w:t>
      </w:r>
    </w:p>
    <w:p>
      <w:pPr>
        <w:pStyle w:val="BodyText"/>
        <w:spacing w:before="25"/>
        <w:ind w:left="1197"/>
      </w:pPr>
      <w:r>
        <w:rPr>
          <w:rFonts w:ascii="Times New Roman" w:hAnsi="Times New Roman" w:eastAsia="Times New Roman"/>
          <w:i/>
          <w:color w:val="231F20"/>
          <w:position w:val="1"/>
        </w:rPr>
        <w:t>F</w:t>
      </w:r>
      <w:r>
        <w:rPr>
          <w:rFonts w:ascii="Times New Roman" w:hAnsi="Times New Roman" w:eastAsia="Times New Roman"/>
          <w:i/>
          <w:color w:val="231F20"/>
          <w:position w:val="-3"/>
          <w:sz w:val="13"/>
        </w:rPr>
        <w:t>tn</w:t>
      </w:r>
      <w:r>
        <w:rPr>
          <w:color w:val="231F20"/>
        </w:rPr>
        <w:t>——各可调因子的现行价格指数，指与第 33.2 款、第 35.2 款和第 36.3 款规定的</w:t>
      </w:r>
    </w:p>
    <w:p>
      <w:pPr>
        <w:pStyle w:val="BodyText"/>
        <w:spacing w:before="83"/>
        <w:ind w:left="1871"/>
      </w:pPr>
      <w:r>
        <w:rPr>
          <w:color w:val="231F20"/>
        </w:rPr>
        <w:t>付款证书相关周期最后一天前 42 天的各可调因子的价格指数；</w:t>
      </w:r>
    </w:p>
    <w:p>
      <w:pPr>
        <w:pStyle w:val="BodyText"/>
        <w:spacing w:line="300" w:lineRule="auto"/>
        <w:ind w:left="1899" w:right="103" w:hanging="703"/>
      </w:pPr>
      <w:r>
        <w:rPr>
          <w:rFonts w:ascii="Times New Roman" w:hAnsi="Times New Roman" w:eastAsia="Times New Roman"/>
          <w:i/>
          <w:color w:val="231F20"/>
          <w:position w:val="1"/>
        </w:rPr>
        <w:t>F</w:t>
      </w:r>
      <w:r>
        <w:rPr>
          <w:rFonts w:ascii="Times New Roman" w:hAnsi="Times New Roman" w:eastAsia="Times New Roman"/>
          <w:i/>
          <w:color w:val="231F20"/>
          <w:position w:val="-3"/>
          <w:sz w:val="13"/>
        </w:rPr>
        <w:t>on</w:t>
      </w:r>
      <w:r>
        <w:rPr>
          <w:color w:val="231F20"/>
        </w:rPr>
        <w:t>——各可调因子的基本价格指数，指投标截止日前 42 天的各可调因子的价格指数。</w:t>
      </w:r>
    </w:p>
    <w:p>
      <w:pPr>
        <w:pStyle w:val="BodyText"/>
        <w:spacing w:line="304" w:lineRule="auto" w:before="26"/>
        <w:ind w:right="114" w:firstLine="440"/>
        <w:jc w:val="both"/>
      </w:pPr>
      <w:r>
        <w:rPr>
          <w:color w:val="231F20"/>
        </w:rPr>
        <w:t>以上价格调整公式中的各可调因子、定值和变值权重，以及基本价格指数及其来源规定在投标辅助资料的价格指数和权重表内。价格指数应首先采用国家或省、自治区、直辖市的政府物价管理部门或统计部门提供的价格指数，若缺乏上述价格指数时，可采用上述部门提供的价格或双方商定的专业部门提供的价格指数或价格代替。</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暂时确定调整差额</w:t>
      </w:r>
    </w:p>
    <w:p>
      <w:pPr>
        <w:pStyle w:val="BodyText"/>
        <w:ind w:left="557"/>
      </w:pPr>
      <w:r>
        <w:rPr>
          <w:color w:val="231F20"/>
        </w:rPr>
        <w:t>在计算调整差额时得不到现行价格指数，可暂用上一次的价格指数计算，并在以后的付款</w:t>
      </w:r>
    </w:p>
    <w:p>
      <w:pPr>
        <w:spacing w:after="0"/>
        <w:sectPr>
          <w:type w:val="continuous"/>
          <w:pgSz w:w="11910" w:h="16840"/>
          <w:pgMar w:top="1580" w:bottom="1020" w:left="1300" w:right="1300"/>
        </w:sectPr>
      </w:pPr>
    </w:p>
    <w:p>
      <w:pPr>
        <w:pStyle w:val="BodyText"/>
        <w:spacing w:before="24"/>
      </w:pPr>
      <w:r>
        <w:rPr>
          <w:color w:val="231F20"/>
        </w:rPr>
        <w:t>中再按实际的价格指数进行调整。</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权重的调整</w:t>
      </w:r>
    </w:p>
    <w:p>
      <w:pPr>
        <w:pStyle w:val="BodyText"/>
        <w:spacing w:line="304" w:lineRule="auto"/>
        <w:ind w:right="203" w:firstLine="440"/>
      </w:pPr>
      <w:r>
        <w:rPr>
          <w:color w:val="231F20"/>
        </w:rPr>
        <w:t>由于按第 39.1 款规定的变更导致原定合同中的权重不合理时，监理人应与承包人和发包人协商后进行调整。</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其他的调价因素</w:t>
      </w:r>
    </w:p>
    <w:p>
      <w:pPr>
        <w:pStyle w:val="BodyText"/>
        <w:spacing w:line="304" w:lineRule="auto"/>
        <w:ind w:right="93" w:firstLine="440"/>
      </w:pPr>
      <w:r>
        <w:rPr>
          <w:color w:val="231F20"/>
        </w:rPr>
        <w:t>除在专用合同条款中另有规定和本条各款规定的调价因素外，其余因素的物价波动均不另行调价。</w:t>
      </w:r>
    </w:p>
    <w:p>
      <w:pPr>
        <w:pStyle w:val="ListParagraph"/>
        <w:numPr>
          <w:ilvl w:val="1"/>
          <w:numId w:val="7"/>
        </w:numPr>
        <w:tabs>
          <w:tab w:pos="1158" w:val="left" w:leader="none"/>
          <w:tab w:pos="1159" w:val="left" w:leader="none"/>
        </w:tabs>
        <w:spacing w:line="240" w:lineRule="auto" w:before="20" w:after="0"/>
        <w:ind w:left="1158" w:right="0" w:hanging="601"/>
        <w:jc w:val="left"/>
        <w:rPr>
          <w:sz w:val="22"/>
        </w:rPr>
      </w:pPr>
      <w:r>
        <w:rPr>
          <w:color w:val="231F20"/>
          <w:sz w:val="22"/>
        </w:rPr>
        <w:t>承包人工期延误后的价格调整</w:t>
      </w:r>
    </w:p>
    <w:p>
      <w:pPr>
        <w:pStyle w:val="BodyText"/>
        <w:spacing w:line="304" w:lineRule="auto" w:before="88"/>
        <w:ind w:right="203" w:firstLine="440"/>
      </w:pPr>
      <w:r>
        <w:rPr>
          <w:color w:val="231F20"/>
        </w:rPr>
        <w:t>由于承包人原因未能按专用合同条款中规定的完工日期内完工，则对原定完工日期后施工的工程，在按第 37.1 款所示的价格调整公式计算时应采用原定完工日期与实际完工日期的两个</w:t>
      </w:r>
    </w:p>
    <w:p>
      <w:pPr>
        <w:pStyle w:val="BodyText"/>
        <w:spacing w:line="304" w:lineRule="auto" w:before="20"/>
        <w:ind w:right="214"/>
        <w:jc w:val="both"/>
      </w:pPr>
      <w:r>
        <w:rPr>
          <w:color w:val="231F20"/>
        </w:rPr>
        <w:t>价格指数中的低者作为现行价格指数。若按第 20.2 款规定延长了完工日期，但又由于承包人原因未能按延长后的完工日期内完工，则对延期期满后施工的工程，其价格调整计算应采用延长后的完工日期与实际完工日期的两个价格指数中的低者作为现行价格指数。</w:t>
      </w:r>
    </w:p>
    <w:p>
      <w:pPr>
        <w:pStyle w:val="ListParagraph"/>
        <w:numPr>
          <w:ilvl w:val="0"/>
          <w:numId w:val="7"/>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法规更改引起的价格调整</w:t>
      </w:r>
    </w:p>
    <w:p>
      <w:pPr>
        <w:pStyle w:val="BodyText"/>
        <w:spacing w:line="304" w:lineRule="auto" w:before="102"/>
        <w:ind w:right="210" w:firstLine="440"/>
        <w:jc w:val="both"/>
      </w:pPr>
      <w:r>
        <w:rPr>
          <w:color w:val="231F20"/>
        </w:rPr>
        <w:t>在投标截止日前的 28 天后，国家的法律、行政法规或国务院有关部门的规章和工程所在地的省、自治区、直辖市的地方法规和规章发生变更，导致承包人在实施合同期间所需要的工程费用发生除第 37 条规定以外的增减时，应由监理人与发包人和承包人进行协商后确定需调整的合同金额。</w:t>
      </w:r>
    </w:p>
    <w:p>
      <w:pPr>
        <w:pStyle w:val="Heading2"/>
      </w:pPr>
      <w:r>
        <w:rPr>
          <w:color w:val="231F20"/>
        </w:rPr>
        <w:t>十七、变更</w:t>
      </w:r>
    </w:p>
    <w:p>
      <w:pPr>
        <w:pStyle w:val="ListParagraph"/>
        <w:numPr>
          <w:ilvl w:val="0"/>
          <w:numId w:val="7"/>
        </w:numPr>
        <w:tabs>
          <w:tab w:pos="1021" w:val="left" w:leader="none"/>
          <w:tab w:pos="1022" w:val="left" w:leader="none"/>
        </w:tabs>
        <w:spacing w:line="240" w:lineRule="auto" w:before="228"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变更</w:t>
      </w:r>
    </w:p>
    <w:p>
      <w:pPr>
        <w:pStyle w:val="ListParagraph"/>
        <w:numPr>
          <w:ilvl w:val="1"/>
          <w:numId w:val="7"/>
        </w:numPr>
        <w:tabs>
          <w:tab w:pos="1158" w:val="left" w:leader="none"/>
          <w:tab w:pos="1159" w:val="left" w:leader="none"/>
        </w:tabs>
        <w:spacing w:line="240" w:lineRule="auto" w:before="101" w:after="0"/>
        <w:ind w:left="1158" w:right="0" w:hanging="601"/>
        <w:jc w:val="left"/>
        <w:rPr>
          <w:sz w:val="22"/>
        </w:rPr>
      </w:pPr>
      <w:r>
        <w:rPr>
          <w:color w:val="231F20"/>
          <w:sz w:val="22"/>
        </w:rPr>
        <w:t>变更的范围和内容</w:t>
      </w:r>
    </w:p>
    <w:p>
      <w:pPr>
        <w:pStyle w:val="BodyText"/>
        <w:spacing w:line="304" w:lineRule="auto"/>
        <w:ind w:right="93" w:firstLine="330"/>
      </w:pPr>
      <w:r>
        <w:rPr>
          <w:color w:val="231F20"/>
        </w:rPr>
        <w:t>（ 1）在履行合同过程中，监理人可根据工程的需要指示承包人进行以下各种类型的变更。没有监理人的指示，承包人不得擅自变更。</w:t>
      </w:r>
    </w:p>
    <w:p>
      <w:pPr>
        <w:pStyle w:val="BodyText"/>
        <w:spacing w:before="21"/>
        <w:ind w:left="557"/>
      </w:pPr>
      <w:r>
        <w:rPr>
          <w:color w:val="231F20"/>
        </w:rPr>
        <w:t>①增加或减少合同中任何一项工作内容；</w:t>
      </w:r>
    </w:p>
    <w:p>
      <w:pPr>
        <w:pStyle w:val="BodyText"/>
        <w:ind w:left="557"/>
      </w:pPr>
      <w:r>
        <w:rPr>
          <w:color w:val="231F20"/>
        </w:rPr>
        <w:t>②增加或减少合同中关键项目的工程量超过专用合同条款规定的百分比；</w:t>
      </w:r>
    </w:p>
    <w:p>
      <w:pPr>
        <w:pStyle w:val="BodyText"/>
        <w:ind w:left="557"/>
      </w:pPr>
      <w:r>
        <w:rPr>
          <w:color w:val="231F20"/>
        </w:rPr>
        <w:t>③取消合同中任何一项工作（但被取消的工作不能转由发包人或其他承包人实施）；</w:t>
      </w:r>
    </w:p>
    <w:p>
      <w:pPr>
        <w:pStyle w:val="BodyText"/>
        <w:ind w:left="557"/>
      </w:pPr>
      <w:r>
        <w:rPr>
          <w:color w:val="231F20"/>
        </w:rPr>
        <w:t>④改变合同中任何一项工作的标准或性质；</w:t>
      </w:r>
    </w:p>
    <w:p>
      <w:pPr>
        <w:pStyle w:val="BodyText"/>
        <w:ind w:left="557"/>
      </w:pPr>
      <w:r>
        <w:rPr>
          <w:color w:val="231F20"/>
        </w:rPr>
        <w:t>⑤改变工程建筑物的形式、基线、标高、位置或尺寸；</w:t>
      </w:r>
    </w:p>
    <w:p>
      <w:pPr>
        <w:pStyle w:val="BodyText"/>
        <w:ind w:left="557"/>
      </w:pPr>
      <w:r>
        <w:rPr>
          <w:color w:val="231F20"/>
        </w:rPr>
        <w:t>⑥改变合同中任何一项工程的完工日期或改变已批准的施工顺序；</w:t>
      </w:r>
    </w:p>
    <w:p>
      <w:pPr>
        <w:pStyle w:val="BodyText"/>
        <w:ind w:left="557"/>
      </w:pPr>
      <w:r>
        <w:rPr>
          <w:color w:val="231F20"/>
        </w:rPr>
        <w:t>⑦追加为完成工程所需的任何额外工作。</w:t>
      </w:r>
    </w:p>
    <w:p>
      <w:pPr>
        <w:pStyle w:val="BodyText"/>
        <w:spacing w:line="304" w:lineRule="auto"/>
        <w:ind w:right="206" w:firstLine="330"/>
      </w:pPr>
      <w:r>
        <w:rPr>
          <w:color w:val="231F20"/>
        </w:rPr>
        <w:t>（ 2）第 39.1 款（ 1）项范围内的变更项目未引起工程施工组织和进度计划发生实质性变动和不影响其原定的价格时，不予调整该项目的单价。</w:t>
      </w:r>
    </w:p>
    <w:p>
      <w:pPr>
        <w:spacing w:after="0" w:line="304" w:lineRule="auto"/>
        <w:sectPr>
          <w:pgSz w:w="11910" w:h="16840"/>
          <w:pgMar w:header="0" w:footer="832" w:top="1580" w:bottom="1020" w:left="1300" w:right="1200"/>
        </w:sectPr>
      </w:pPr>
    </w:p>
    <w:p>
      <w:pPr>
        <w:pStyle w:val="ListParagraph"/>
        <w:numPr>
          <w:ilvl w:val="1"/>
          <w:numId w:val="7"/>
        </w:numPr>
        <w:tabs>
          <w:tab w:pos="1158" w:val="left" w:leader="none"/>
          <w:tab w:pos="1159" w:val="left" w:leader="none"/>
        </w:tabs>
        <w:spacing w:line="240" w:lineRule="auto" w:before="24" w:after="0"/>
        <w:ind w:left="1158" w:right="0" w:hanging="601"/>
        <w:jc w:val="left"/>
        <w:rPr>
          <w:sz w:val="22"/>
        </w:rPr>
      </w:pPr>
      <w:r>
        <w:rPr>
          <w:color w:val="231F20"/>
          <w:sz w:val="22"/>
        </w:rPr>
        <w:t>变更的处理原则</w:t>
      </w:r>
    </w:p>
    <w:p>
      <w:pPr>
        <w:pStyle w:val="BodyText"/>
        <w:spacing w:line="304" w:lineRule="auto"/>
        <w:ind w:right="206" w:firstLine="330"/>
        <w:jc w:val="both"/>
      </w:pPr>
      <w:r>
        <w:rPr>
          <w:color w:val="231F20"/>
        </w:rPr>
        <w:t>（ 1）变更需要延长工期时，应按第 17.2 款和第 20.2 款的规定办理；若变更使合同工作量减少，监理人认为应予提前变更项目的工期时，由监理人和承包人协商确定。</w:t>
      </w:r>
    </w:p>
    <w:p>
      <w:pPr>
        <w:pStyle w:val="BodyText"/>
        <w:spacing w:before="21"/>
        <w:ind w:left="447"/>
      </w:pPr>
      <w:r>
        <w:rPr>
          <w:color w:val="231F20"/>
        </w:rPr>
        <w:t>（ 2）变更需要调整合同价格时，按以下原则确定其单价或合价：</w:t>
      </w:r>
    </w:p>
    <w:p>
      <w:pPr>
        <w:pStyle w:val="BodyText"/>
        <w:ind w:left="557"/>
      </w:pPr>
      <w:r>
        <w:rPr>
          <w:color w:val="231F20"/>
        </w:rPr>
        <w:t>①《工程量清单》中有适用于变更工作的项目时，应采用该项目的单价；</w:t>
      </w:r>
    </w:p>
    <w:p>
      <w:pPr>
        <w:pStyle w:val="BodyText"/>
        <w:spacing w:line="304" w:lineRule="auto"/>
        <w:ind w:right="93" w:firstLine="440"/>
      </w:pPr>
      <w:r>
        <w:rPr>
          <w:color w:val="231F20"/>
        </w:rPr>
        <w:t>②《工程量清单》中无适用于变更工作的项目时，则可在合理的范围内参考类似项目的单价或合价作为变更估价的基础，由监理人与承包人协商确定变更后的单价或合价；</w:t>
      </w:r>
    </w:p>
    <w:p>
      <w:pPr>
        <w:pStyle w:val="BodyText"/>
        <w:spacing w:line="304" w:lineRule="auto" w:before="21"/>
        <w:ind w:right="93" w:firstLine="440"/>
      </w:pPr>
      <w:r>
        <w:rPr>
          <w:color w:val="231F20"/>
        </w:rPr>
        <w:t>③《工程量清单》中无类似项目的单价或合价可供参考，则应由监理人与发包人和承包人协商确定新的单价或合价。</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变更指示</w:t>
      </w:r>
    </w:p>
    <w:p>
      <w:pPr>
        <w:pStyle w:val="BodyText"/>
        <w:spacing w:line="304" w:lineRule="auto"/>
        <w:ind w:right="207" w:firstLine="330"/>
        <w:jc w:val="both"/>
      </w:pPr>
      <w:r>
        <w:rPr>
          <w:color w:val="231F20"/>
        </w:rPr>
        <w:t>（ 1）监理人应在发包人授权范围内，按第 39.1 款的规定及时向承包人发出变更指示。变更指示的内容应包括变更项目的详细变更内容、变更工程量、变更项目的施工技术要求和有关文件图纸以及监理人按第 39.2 款规定指明的变更处理原则。</w:t>
      </w:r>
    </w:p>
    <w:p>
      <w:pPr>
        <w:pStyle w:val="BodyText"/>
        <w:spacing w:line="304" w:lineRule="auto" w:before="20"/>
        <w:ind w:right="208" w:firstLine="330"/>
        <w:jc w:val="both"/>
      </w:pPr>
      <w:r>
        <w:rPr>
          <w:color w:val="231F20"/>
        </w:rPr>
        <w:t>（ 2）监理人在向承包人发出任何图纸和文件前，应仔细检查其中是否存在第 39.1 款所述的变更。若存在变更，监理人应按本款（ 1）项的规定发出变更指示。</w:t>
      </w:r>
    </w:p>
    <w:p>
      <w:pPr>
        <w:pStyle w:val="BodyText"/>
        <w:spacing w:line="304" w:lineRule="auto" w:before="20"/>
        <w:ind w:right="208" w:firstLine="330"/>
        <w:jc w:val="both"/>
      </w:pPr>
      <w:r>
        <w:rPr>
          <w:color w:val="231F20"/>
        </w:rPr>
        <w:t>（ 3）承包人收到监理人发出的图纸和文件后，经检查后认为其中存在第 39.1 款所述的变更而监理人未按本款（ 1）项规定发出变更指示，则应在收到上述图纸和文件后 14 天内或在开始执行前（以日期早者为准）通知监理人，并提供必要的依据。监理人应在收到承包人通知后</w:t>
      </w:r>
    </w:p>
    <w:p>
      <w:pPr>
        <w:pStyle w:val="BodyText"/>
        <w:spacing w:before="20"/>
      </w:pPr>
      <w:r>
        <w:rPr>
          <w:color w:val="231F20"/>
        </w:rPr>
        <w:t>14 天内答复承包人；若同意作为变更，应按本款（ 1）项规定补发变更指示；若不同意作为变</w:t>
      </w:r>
    </w:p>
    <w:p>
      <w:pPr>
        <w:pStyle w:val="BodyText"/>
        <w:spacing w:line="304" w:lineRule="auto" w:before="88"/>
        <w:ind w:right="199"/>
      </w:pPr>
      <w:r>
        <w:rPr>
          <w:color w:val="231F20"/>
        </w:rPr>
        <w:t>更，亦应在上述期限内答复承包人。若监理人未在 14 天内答复承包人，则视为监理人已同意承包人提出的作为变更的要求。</w:t>
      </w:r>
    </w:p>
    <w:p>
      <w:pPr>
        <w:pStyle w:val="ListParagraph"/>
        <w:numPr>
          <w:ilvl w:val="1"/>
          <w:numId w:val="7"/>
        </w:numPr>
        <w:tabs>
          <w:tab w:pos="1158" w:val="left" w:leader="none"/>
          <w:tab w:pos="1159" w:val="left" w:leader="none"/>
        </w:tabs>
        <w:spacing w:line="240" w:lineRule="auto" w:before="20" w:after="0"/>
        <w:ind w:left="1158" w:right="0" w:hanging="601"/>
        <w:jc w:val="left"/>
        <w:rPr>
          <w:sz w:val="22"/>
        </w:rPr>
      </w:pPr>
      <w:r>
        <w:rPr>
          <w:color w:val="231F20"/>
          <w:sz w:val="22"/>
        </w:rPr>
        <w:t>变更的报价</w:t>
      </w:r>
    </w:p>
    <w:p>
      <w:pPr>
        <w:pStyle w:val="BodyText"/>
        <w:spacing w:line="304" w:lineRule="auto"/>
        <w:ind w:right="211" w:firstLine="330"/>
        <w:jc w:val="both"/>
      </w:pPr>
      <w:r>
        <w:rPr>
          <w:color w:val="231F20"/>
        </w:rPr>
        <w:t>（ 1）承包人收到监理人发出的变更指示后 28 天内，应向监理人提交一份变更报价书，其内容应包括承包人确认的变更处理原则和变更工程量及其变更项目的报价单。监理人认为必要时，可要求承包人提交重大变更项目的施工措施、进度计划和单价分析等。</w:t>
      </w:r>
    </w:p>
    <w:p>
      <w:pPr>
        <w:pStyle w:val="BodyText"/>
        <w:spacing w:line="304" w:lineRule="auto" w:before="21"/>
        <w:ind w:right="216" w:firstLine="330"/>
        <w:jc w:val="both"/>
      </w:pPr>
      <w:r>
        <w:rPr>
          <w:color w:val="231F20"/>
        </w:rPr>
        <w:t>（ 2）承包人对监理人提出的变更处理原则持有异议时，可在收到变更指示后 7 天内通知监理人，监理人则应在收到通知后 7 天内答复承包人。</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变更决定</w:t>
      </w:r>
    </w:p>
    <w:p>
      <w:pPr>
        <w:pStyle w:val="BodyText"/>
        <w:spacing w:line="304" w:lineRule="auto"/>
        <w:ind w:right="93" w:firstLine="330"/>
      </w:pPr>
      <w:r>
        <w:rPr>
          <w:color w:val="231F20"/>
        </w:rPr>
        <w:t>（ 1）监理人应在收到承包人变更报价书后 28 天内对变更报价书进行审核后作出变更决定， 并通知承包人。</w:t>
      </w:r>
    </w:p>
    <w:p>
      <w:pPr>
        <w:pStyle w:val="BodyText"/>
        <w:spacing w:line="304" w:lineRule="auto" w:before="20"/>
        <w:ind w:right="214" w:firstLine="330"/>
        <w:jc w:val="both"/>
      </w:pPr>
      <w:r>
        <w:rPr>
          <w:color w:val="231F20"/>
        </w:rPr>
        <w:t>（ 2）发包人和承包人未能就监理人的决定取得一致意见，则监理人可暂定他认为合适的价格和需要调整的工期，并将其暂定的变更处理意见通知发包人和承包人，此时承包人应遵照执行。对已实施的变更，监理人可将其暂定的变更费用列入第 33.2 款规定的月进度付款中。但发</w:t>
      </w:r>
    </w:p>
    <w:p>
      <w:pPr>
        <w:spacing w:after="0" w:line="304" w:lineRule="auto"/>
        <w:jc w:val="both"/>
        <w:sectPr>
          <w:pgSz w:w="11910" w:h="16840"/>
          <w:pgMar w:header="0" w:footer="832" w:top="1580" w:bottom="1020" w:left="1300" w:right="1200"/>
        </w:sectPr>
      </w:pPr>
    </w:p>
    <w:p>
      <w:pPr>
        <w:pStyle w:val="BodyText"/>
        <w:spacing w:line="304" w:lineRule="auto" w:before="24"/>
        <w:ind w:right="215"/>
        <w:jc w:val="both"/>
      </w:pPr>
      <w:r>
        <w:rPr>
          <w:color w:val="231F20"/>
        </w:rPr>
        <w:t>包人和承包人均有权在收到监理人变更决定后的 28 天内要求按第 44.1 款的规定提请争议调解组解决，若在此期限内双方均未提出上述要求，则监理人的变更决定即为最终决定。</w:t>
      </w:r>
    </w:p>
    <w:p>
      <w:pPr>
        <w:pStyle w:val="BodyText"/>
        <w:spacing w:line="304" w:lineRule="auto" w:before="21"/>
        <w:ind w:right="93" w:firstLine="330"/>
      </w:pPr>
      <w:r>
        <w:rPr>
          <w:color w:val="231F20"/>
        </w:rPr>
        <w:t>（ 3）在紧急情况下，监理人向承包人发出的变更指示，可要求立即进行变更工作。承包人</w:t>
      </w:r>
      <w:r>
        <w:rPr>
          <w:color w:val="231F20"/>
          <w:spacing w:val="0"/>
        </w:rPr>
        <w:t>收到监理人的变更指示后，应先按指示执行，再按第 </w:t>
      </w:r>
      <w:r>
        <w:rPr>
          <w:color w:val="231F20"/>
        </w:rPr>
        <w:t>39.4 款的规定向监理人提交变更报价书， 监理人则仍应按本款（ </w:t>
      </w:r>
      <w:r>
        <w:rPr>
          <w:color w:val="231F20"/>
          <w:spacing w:val="-1"/>
        </w:rPr>
        <w:t>1</w:t>
      </w:r>
      <w:r>
        <w:rPr>
          <w:color w:val="231F20"/>
          <w:spacing w:val="-110"/>
        </w:rPr>
        <w:t>）、</w:t>
      </w:r>
      <w:r>
        <w:rPr>
          <w:color w:val="231F20"/>
        </w:rPr>
        <w:t>（ </w:t>
      </w:r>
      <w:r>
        <w:rPr>
          <w:color w:val="231F20"/>
          <w:spacing w:val="-1"/>
        </w:rPr>
        <w:t>2）项的规定补发变更决定通知。</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变更影响本项目和其他项目的单价或合价</w:t>
      </w:r>
    </w:p>
    <w:p>
      <w:pPr>
        <w:pStyle w:val="BodyText"/>
        <w:spacing w:line="304" w:lineRule="auto"/>
        <w:ind w:right="214" w:firstLine="440"/>
        <w:jc w:val="both"/>
      </w:pPr>
      <w:r>
        <w:rPr>
          <w:color w:val="231F20"/>
        </w:rPr>
        <w:t>按第 39.1 款进行的任何一项变更引起本合同工程或部分工程的施工组织和进度计划发生实质性变动，以致影响本项目和其他项目的单价或合价时，发包人和承包人均有权要求调整本项目和其他项目的单价或合价，监理人应与发包人和承包人协商确定。</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pacing w:val="-1"/>
          <w:sz w:val="22"/>
        </w:rPr>
        <w:t>合同价格增减超过 </w:t>
      </w:r>
      <w:r>
        <w:rPr>
          <w:color w:val="231F20"/>
          <w:sz w:val="22"/>
        </w:rPr>
        <w:t>15％</w:t>
      </w:r>
    </w:p>
    <w:p>
      <w:pPr>
        <w:pStyle w:val="BodyText"/>
        <w:spacing w:line="304" w:lineRule="auto"/>
        <w:ind w:right="199" w:firstLine="440"/>
      </w:pPr>
      <w:r>
        <w:rPr>
          <w:color w:val="231F20"/>
        </w:rPr>
        <w:t>完工结算时，若出现由于第 39 条规定进行的全部变更工作引起合同价格增减的金额，以及实际工程量与工程量清单中估算工程量的差值引起合同价格增减的金额（不包括备用金和第</w:t>
      </w:r>
    </w:p>
    <w:p>
      <w:pPr>
        <w:pStyle w:val="BodyText"/>
        <w:spacing w:before="20"/>
      </w:pPr>
      <w:r>
        <w:rPr>
          <w:color w:val="231F20"/>
        </w:rPr>
        <w:t>37 条、第 38 条规定的价格调整）的总和超过合同价格（不包括备用金）的 15% 时，在除了按</w:t>
      </w:r>
    </w:p>
    <w:p>
      <w:pPr>
        <w:pStyle w:val="BodyText"/>
        <w:spacing w:line="304" w:lineRule="auto" w:before="88"/>
        <w:ind w:right="213"/>
        <w:jc w:val="both"/>
      </w:pPr>
      <w:r>
        <w:rPr>
          <w:color w:val="231F20"/>
        </w:rPr>
        <w:t>第 39.6 款确定的变更工作的增减金额外，若还需对合同价格进行调整时，其调整金额由监理人与发包人和承包人协商确定。若协商后未达成一致意见，则应由监理人在进一步调查工程实际情况后提出确定意见，征得发包人同意后将确定结果通知承包人。上述调整金额仅考虑变更引起的增减总金额以及实际工程量与《工程量清单》中估算工程量的差值引起的增减总金额之和超过合同价格（不包括备用金）的 15% 的部分。</w:t>
      </w:r>
    </w:p>
    <w:p>
      <w:pPr>
        <w:pStyle w:val="ListParagraph"/>
        <w:numPr>
          <w:ilvl w:val="1"/>
          <w:numId w:val="7"/>
        </w:numPr>
        <w:tabs>
          <w:tab w:pos="1158" w:val="left" w:leader="none"/>
          <w:tab w:pos="1159" w:val="left" w:leader="none"/>
        </w:tabs>
        <w:spacing w:line="240" w:lineRule="auto" w:before="20" w:after="0"/>
        <w:ind w:left="1158" w:right="0" w:hanging="601"/>
        <w:jc w:val="left"/>
        <w:rPr>
          <w:sz w:val="22"/>
        </w:rPr>
      </w:pPr>
      <w:r>
        <w:rPr>
          <w:color w:val="231F20"/>
          <w:sz w:val="22"/>
        </w:rPr>
        <w:t>承包人原因引起的变更</w:t>
      </w:r>
    </w:p>
    <w:p>
      <w:pPr>
        <w:pStyle w:val="BodyText"/>
        <w:spacing w:line="304" w:lineRule="auto"/>
        <w:ind w:right="206" w:firstLine="330"/>
        <w:jc w:val="both"/>
      </w:pPr>
      <w:r>
        <w:rPr>
          <w:color w:val="231F20"/>
        </w:rPr>
        <w:t>（ 1）若承包人根据工程施工的需要，要求监理人对合同的任一项目和任一项工作作出变更，则应由承包人提交一份详细的变更申请报告报送监理人审批。未经监理人批准，承包人不得擅自变更。</w:t>
      </w:r>
    </w:p>
    <w:p>
      <w:pPr>
        <w:pStyle w:val="BodyText"/>
        <w:spacing w:before="21"/>
        <w:ind w:left="447"/>
      </w:pPr>
      <w:r>
        <w:rPr>
          <w:color w:val="231F20"/>
        </w:rPr>
        <w:t>（ 2）承包人要求的变更属合理化建议的性质时，应按第 59 条的规定办理。</w:t>
      </w:r>
    </w:p>
    <w:p>
      <w:pPr>
        <w:pStyle w:val="BodyText"/>
        <w:spacing w:line="304" w:lineRule="auto"/>
        <w:ind w:right="215" w:firstLine="330"/>
        <w:jc w:val="both"/>
      </w:pPr>
      <w:r>
        <w:rPr>
          <w:color w:val="231F20"/>
        </w:rPr>
        <w:t>（ 3）承包人违约或其他由于承包人原因引起的变更，其增加的费用和工期延误责任由承包人承担。</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计日工</w:t>
      </w:r>
    </w:p>
    <w:p>
      <w:pPr>
        <w:pStyle w:val="BodyText"/>
        <w:spacing w:line="304" w:lineRule="auto"/>
        <w:ind w:right="213" w:firstLine="330"/>
        <w:jc w:val="both"/>
      </w:pPr>
      <w:r>
        <w:rPr>
          <w:color w:val="231F20"/>
        </w:rPr>
        <w:t>（ 1）监理人认为有必要时，可以通知承包人以计日工的方式，进行任何一项变更工作。其金额应按承包人在投标文件中提出，并经发包人确认后按列入合同文件的计日工项目及其单价进行计算。</w:t>
      </w:r>
    </w:p>
    <w:p>
      <w:pPr>
        <w:pStyle w:val="BodyText"/>
        <w:spacing w:line="304" w:lineRule="auto" w:before="21"/>
        <w:ind w:right="215" w:firstLine="330"/>
        <w:jc w:val="both"/>
      </w:pPr>
      <w:r>
        <w:rPr>
          <w:color w:val="231F20"/>
        </w:rPr>
        <w:t>（ 2）采用计日工计量的任何一项变更工作，应列入备用金中支付，承包人应在该项变更实施过程中，每天提交以下报表和有关凭证报送监理人审批。</w:t>
      </w:r>
    </w:p>
    <w:p>
      <w:pPr>
        <w:pStyle w:val="BodyText"/>
        <w:spacing w:before="21"/>
        <w:ind w:left="557"/>
      </w:pPr>
      <w:r>
        <w:rPr>
          <w:color w:val="231F20"/>
        </w:rPr>
        <w:t>①项目名称、工作内容和工作数量；</w:t>
      </w:r>
    </w:p>
    <w:p>
      <w:pPr>
        <w:pStyle w:val="BodyText"/>
        <w:ind w:left="557"/>
      </w:pPr>
      <w:r>
        <w:rPr>
          <w:color w:val="231F20"/>
        </w:rPr>
        <w:t>②投入该项目的所有人员姓名、工种、级别和耗用工时；</w:t>
      </w:r>
    </w:p>
    <w:p>
      <w:pPr>
        <w:spacing w:after="0"/>
        <w:sectPr>
          <w:pgSz w:w="11910" w:h="16840"/>
          <w:pgMar w:header="0" w:footer="832" w:top="1580" w:bottom="1020" w:left="1300" w:right="1200"/>
        </w:sectPr>
      </w:pPr>
    </w:p>
    <w:p>
      <w:pPr>
        <w:pStyle w:val="BodyText"/>
        <w:spacing w:before="24"/>
        <w:ind w:left="557"/>
      </w:pPr>
      <w:r>
        <w:rPr>
          <w:color w:val="231F20"/>
        </w:rPr>
        <w:t>③投入该项目的材料种类和数量；</w:t>
      </w:r>
    </w:p>
    <w:p>
      <w:pPr>
        <w:pStyle w:val="BodyText"/>
        <w:ind w:left="557"/>
      </w:pPr>
      <w:r>
        <w:rPr>
          <w:color w:val="231F20"/>
        </w:rPr>
        <w:t>④投入该项目的设备型号、台数和耗用工时；</w:t>
      </w:r>
    </w:p>
    <w:p>
      <w:pPr>
        <w:pStyle w:val="BodyText"/>
        <w:ind w:left="557"/>
      </w:pPr>
      <w:r>
        <w:rPr>
          <w:color w:val="231F20"/>
        </w:rPr>
        <w:t>⑤监理人要求提交的其他资料和凭证。</w:t>
      </w:r>
    </w:p>
    <w:p>
      <w:pPr>
        <w:pStyle w:val="BodyText"/>
        <w:spacing w:line="304" w:lineRule="auto"/>
        <w:ind w:right="103" w:firstLine="330"/>
      </w:pPr>
      <w:r>
        <w:rPr>
          <w:color w:val="231F20"/>
        </w:rPr>
        <w:t>（ 3）计日工项目由承包人按月汇总后按第 33.1 款的规定列入月进度付款申请单中，由监理人复核签证后按月支付给承包人，直至该项目全部完工为止。</w:t>
      </w:r>
    </w:p>
    <w:p>
      <w:pPr>
        <w:pStyle w:val="ListParagraph"/>
        <w:numPr>
          <w:ilvl w:val="0"/>
          <w:numId w:val="7"/>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备用金</w:t>
      </w:r>
    </w:p>
    <w:p>
      <w:pPr>
        <w:pStyle w:val="ListParagraph"/>
        <w:numPr>
          <w:ilvl w:val="1"/>
          <w:numId w:val="7"/>
        </w:numPr>
        <w:tabs>
          <w:tab w:pos="1158" w:val="left" w:leader="none"/>
          <w:tab w:pos="1159" w:val="left" w:leader="none"/>
        </w:tabs>
        <w:spacing w:line="304" w:lineRule="auto" w:before="102" w:after="0"/>
        <w:ind w:left="447" w:right="108" w:firstLine="110"/>
        <w:jc w:val="left"/>
        <w:rPr>
          <w:sz w:val="22"/>
        </w:rPr>
      </w:pPr>
      <w:r>
        <w:rPr>
          <w:color w:val="231F20"/>
          <w:sz w:val="22"/>
        </w:rPr>
        <w:t>备用金的定义                                                                                                                         </w:t>
      </w:r>
      <w:r>
        <w:rPr>
          <w:color w:val="231F20"/>
          <w:spacing w:val="1"/>
          <w:sz w:val="22"/>
        </w:rPr>
        <w:t>“备用金”指由发包人在《工程量清单》中专项列出的用于签订协议书时尚未确定或不可</w:t>
      </w:r>
    </w:p>
    <w:p>
      <w:pPr>
        <w:pStyle w:val="BodyText"/>
        <w:spacing w:before="20"/>
      </w:pPr>
      <w:r>
        <w:rPr>
          <w:color w:val="231F20"/>
        </w:rPr>
        <w:t>预见项目的备用金额。</w:t>
      </w:r>
    </w:p>
    <w:p>
      <w:pPr>
        <w:pStyle w:val="ListParagraph"/>
        <w:numPr>
          <w:ilvl w:val="1"/>
          <w:numId w:val="7"/>
        </w:numPr>
        <w:tabs>
          <w:tab w:pos="1158" w:val="left" w:leader="none"/>
          <w:tab w:pos="1159" w:val="left" w:leader="none"/>
        </w:tabs>
        <w:spacing w:line="240" w:lineRule="auto" w:before="88" w:after="0"/>
        <w:ind w:left="447" w:right="0" w:firstLine="110"/>
        <w:jc w:val="left"/>
        <w:rPr>
          <w:sz w:val="22"/>
        </w:rPr>
      </w:pPr>
      <w:r>
        <w:rPr>
          <w:color w:val="231F20"/>
          <w:sz w:val="22"/>
        </w:rPr>
        <w:t>备用金的使用</w:t>
      </w:r>
    </w:p>
    <w:p>
      <w:pPr>
        <w:pStyle w:val="BodyText"/>
        <w:spacing w:before="88"/>
        <w:ind w:left="557"/>
      </w:pPr>
      <w:r>
        <w:rPr>
          <w:color w:val="231F20"/>
        </w:rPr>
        <w:t>监理人可以指示承包人进行上述备用金项下的工作，并根据第 39 条规定的变更办理。</w:t>
      </w:r>
    </w:p>
    <w:p>
      <w:pPr>
        <w:pStyle w:val="BodyText"/>
        <w:spacing w:line="304" w:lineRule="auto" w:before="88"/>
        <w:ind w:right="114" w:firstLine="440"/>
        <w:jc w:val="both"/>
      </w:pPr>
      <w:r>
        <w:rPr>
          <w:color w:val="231F20"/>
        </w:rPr>
        <w:t>该项金额应按监理人的指示，并经发包人批准后才能动用。承包人仅有权得到由监理人决定列入备用金有关工作所需的费用和利润。监理人应与发包人协商后，将根据本款作出的决定通知承包人。</w:t>
      </w:r>
    </w:p>
    <w:p>
      <w:pPr>
        <w:pStyle w:val="ListParagraph"/>
        <w:numPr>
          <w:ilvl w:val="1"/>
          <w:numId w:val="7"/>
        </w:numPr>
        <w:tabs>
          <w:tab w:pos="1158" w:val="left" w:leader="none"/>
          <w:tab w:pos="1159" w:val="left" w:leader="none"/>
        </w:tabs>
        <w:spacing w:line="240" w:lineRule="auto" w:before="20" w:after="0"/>
        <w:ind w:left="447" w:right="0" w:firstLine="110"/>
        <w:jc w:val="left"/>
        <w:rPr>
          <w:sz w:val="22"/>
        </w:rPr>
      </w:pPr>
      <w:r>
        <w:rPr>
          <w:color w:val="231F20"/>
          <w:sz w:val="22"/>
        </w:rPr>
        <w:t>提供凭证</w:t>
      </w:r>
    </w:p>
    <w:p>
      <w:pPr>
        <w:pStyle w:val="BodyText"/>
        <w:spacing w:line="304" w:lineRule="auto"/>
        <w:ind w:firstLine="440"/>
      </w:pPr>
      <w:r>
        <w:rPr>
          <w:color w:val="231F20"/>
        </w:rPr>
        <w:t>除了按合同文件中规定的单价或合价计算的项目外，承包人应提交监理人要求的属于备用金专项内开支的有关凭证。</w:t>
      </w:r>
    </w:p>
    <w:p>
      <w:pPr>
        <w:pStyle w:val="Heading2"/>
      </w:pPr>
      <w:r>
        <w:rPr>
          <w:color w:val="231F20"/>
        </w:rPr>
        <w:t>十八、违约和索赔</w:t>
      </w:r>
    </w:p>
    <w:p>
      <w:pPr>
        <w:pStyle w:val="ListParagraph"/>
        <w:numPr>
          <w:ilvl w:val="0"/>
          <w:numId w:val="7"/>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承包人违约</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承包人违约</w:t>
      </w:r>
    </w:p>
    <w:p>
      <w:pPr>
        <w:pStyle w:val="BodyText"/>
        <w:ind w:left="557"/>
      </w:pPr>
      <w:r>
        <w:rPr>
          <w:color w:val="231F20"/>
        </w:rPr>
        <w:t>在履行合同过程中，承包人发生下述行为之一者属承包人违约。</w:t>
      </w:r>
    </w:p>
    <w:p>
      <w:pPr>
        <w:pStyle w:val="BodyText"/>
        <w:spacing w:line="304" w:lineRule="auto"/>
        <w:ind w:right="99" w:firstLine="330"/>
      </w:pPr>
      <w:r>
        <w:rPr>
          <w:color w:val="231F20"/>
        </w:rPr>
        <w:t>（ 1）承包人无正当理由未按开工通知的要求及时进点组织施工和未按签订协议书时商定的进度计划有效地开展施工准备，造成工期延误。</w:t>
      </w:r>
    </w:p>
    <w:p>
      <w:pPr>
        <w:pStyle w:val="BodyText"/>
        <w:spacing w:line="304" w:lineRule="auto" w:before="20"/>
        <w:ind w:right="106" w:firstLine="330"/>
      </w:pPr>
      <w:r>
        <w:rPr>
          <w:color w:val="231F20"/>
        </w:rPr>
        <w:t>（ 2）承包人违反第 10 条和第 11 条规定私自将合同或合同的任何部分或任何权利转让给其他人，或私自将工程或工程的一部分分包出去。</w:t>
      </w:r>
    </w:p>
    <w:p>
      <w:pPr>
        <w:pStyle w:val="BodyText"/>
        <w:spacing w:line="304" w:lineRule="auto" w:before="20"/>
        <w:ind w:right="99" w:firstLine="330"/>
      </w:pPr>
      <w:r>
        <w:rPr>
          <w:color w:val="231F20"/>
        </w:rPr>
        <w:t>（ 3）未经监理人批准，承包人私自将已按合同规定进入工地的工程设备、施工设备、临时工程或材料撤离工地。</w:t>
      </w:r>
    </w:p>
    <w:p>
      <w:pPr>
        <w:pStyle w:val="BodyText"/>
        <w:spacing w:line="304" w:lineRule="auto" w:before="20"/>
        <w:ind w:right="103" w:firstLine="330"/>
      </w:pPr>
      <w:r>
        <w:rPr>
          <w:color w:val="231F20"/>
        </w:rPr>
        <w:t>（ 4）承包人违反第 26.1 款的规定使用了不合格的材料和工程设备，并拒绝按第 26.2 款的规定处理不合格的工程、材料和工程设备。</w:t>
      </w:r>
    </w:p>
    <w:p>
      <w:pPr>
        <w:pStyle w:val="BodyText"/>
        <w:spacing w:line="304" w:lineRule="auto" w:before="20"/>
        <w:ind w:right="103" w:firstLine="330"/>
      </w:pPr>
      <w:r>
        <w:rPr>
          <w:color w:val="231F20"/>
        </w:rPr>
        <w:t>（ 5）由于承包人原因拒绝按合同进度计划及时完成合同规定的工程，而又未按第 20.3 款规定采取有效措施赶上进度，造成工期延误。</w:t>
      </w:r>
    </w:p>
    <w:p>
      <w:pPr>
        <w:pStyle w:val="BodyText"/>
        <w:spacing w:before="20"/>
        <w:ind w:left="447"/>
      </w:pPr>
      <w:r>
        <w:rPr>
          <w:color w:val="231F20"/>
        </w:rPr>
        <w:t>（ 6）承包人在保修期内拒绝按第 53 条的规定和工程移交证书中所列的缺陷清单内容进行</w:t>
      </w:r>
    </w:p>
    <w:p>
      <w:pPr>
        <w:spacing w:after="0"/>
        <w:sectPr>
          <w:footerReference w:type="even" r:id="rId15"/>
          <w:footerReference w:type="default" r:id="rId16"/>
          <w:pgSz w:w="11910" w:h="16840"/>
          <w:pgMar w:footer="832" w:header="0" w:top="1580" w:bottom="1020" w:left="1300" w:right="1300"/>
        </w:sectPr>
      </w:pPr>
    </w:p>
    <w:p>
      <w:pPr>
        <w:pStyle w:val="BodyText"/>
        <w:spacing w:before="24"/>
      </w:pPr>
      <w:r>
        <w:rPr>
          <w:color w:val="231F20"/>
        </w:rPr>
        <w:t>修复，或经监理人检验认为修复质量不合格而承包人拒绝再进行修补。</w:t>
      </w:r>
    </w:p>
    <w:p>
      <w:pPr>
        <w:pStyle w:val="BodyText"/>
        <w:spacing w:line="304" w:lineRule="auto"/>
        <w:ind w:right="215" w:firstLine="330"/>
        <w:jc w:val="both"/>
      </w:pPr>
      <w:r>
        <w:rPr>
          <w:color w:val="231F20"/>
        </w:rPr>
        <w:t>（ 7）承包人否认合同有效或拒绝履行合同规定的承包人义务，或由于法律、财务等原因导致承包人无法继续履行或实质上已停止履行本合同的义务。</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对承包人违约发出警告</w:t>
      </w:r>
    </w:p>
    <w:p>
      <w:pPr>
        <w:pStyle w:val="BodyText"/>
        <w:ind w:left="557"/>
      </w:pPr>
      <w:r>
        <w:rPr>
          <w:color w:val="231F20"/>
        </w:rPr>
        <w:t>承包人发生第 41.1 款的违约行为时，监理人应及时向承包人发出书面警告，限令其在收到</w:t>
      </w:r>
    </w:p>
    <w:p>
      <w:pPr>
        <w:pStyle w:val="BodyText"/>
        <w:spacing w:line="304" w:lineRule="auto"/>
        <w:ind w:right="209"/>
        <w:jc w:val="both"/>
      </w:pPr>
      <w:r>
        <w:rPr>
          <w:color w:val="231F20"/>
        </w:rPr>
        <w:t>书面警告后的 28 天内予以改正。承包人应立即采取有效措施认真改正，并尽可能挽回由于违约造成的延误和损失。由于承包人采取改正措施所增加的费用，应由承包人承担。</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责令承包人停工整改</w:t>
      </w:r>
    </w:p>
    <w:p>
      <w:pPr>
        <w:pStyle w:val="BodyText"/>
        <w:ind w:left="557"/>
      </w:pPr>
      <w:r>
        <w:rPr>
          <w:color w:val="231F20"/>
        </w:rPr>
        <w:t>承包人在收到书面警告后的 28 天内仍不采取有效措施改正其违约行为，继续延误工期或</w:t>
      </w:r>
    </w:p>
    <w:p>
      <w:pPr>
        <w:pStyle w:val="BodyText"/>
      </w:pPr>
      <w:r>
        <w:rPr>
          <w:color w:val="231F20"/>
        </w:rPr>
        <w:t>严重影响工程质量，甚至危及工程安全，监理人可暂停支付工程价款，并按第 19.3 款的规定暂</w:t>
      </w:r>
    </w:p>
    <w:p>
      <w:pPr>
        <w:pStyle w:val="BodyText"/>
        <w:spacing w:line="304" w:lineRule="auto"/>
        <w:ind w:right="209"/>
        <w:jc w:val="both"/>
      </w:pPr>
      <w:r>
        <w:rPr>
          <w:color w:val="231F20"/>
        </w:rPr>
        <w:t>停其工程或部分工程施工，责令其停工整改，并限令承包人在 14 天内提交整改报告报送监理人。由此增加的费用和工期延误责任由承包人承担。</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承包人违约解除合同</w:t>
      </w:r>
    </w:p>
    <w:p>
      <w:pPr>
        <w:pStyle w:val="BodyText"/>
        <w:ind w:left="557"/>
      </w:pPr>
      <w:r>
        <w:rPr>
          <w:color w:val="231F20"/>
        </w:rPr>
        <w:t>监理人发出停工整改通知 28 天后，承包人继续无视监理人的指示，仍不提交整改报告，</w:t>
      </w:r>
    </w:p>
    <w:p>
      <w:pPr>
        <w:pStyle w:val="BodyText"/>
        <w:spacing w:line="304" w:lineRule="auto"/>
        <w:ind w:right="209"/>
        <w:jc w:val="both"/>
      </w:pPr>
      <w:r>
        <w:rPr>
          <w:color w:val="231F20"/>
        </w:rPr>
        <w:t>亦不采取整改措施，则发包人可通知承包人解除合同。发包人发出通知 14 天后派员进驻工地直接监管工程，使用承包人设备、临时工程和材料，另行组织人员或委托其他承包人施工，但发包人的这一行动不免除承包人按合同规定应负的责任。</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解除合同后的估价</w:t>
      </w:r>
    </w:p>
    <w:p>
      <w:pPr>
        <w:pStyle w:val="BodyText"/>
        <w:spacing w:line="304" w:lineRule="auto"/>
        <w:ind w:right="93" w:firstLine="440"/>
      </w:pPr>
      <w:r>
        <w:rPr>
          <w:color w:val="231F20"/>
        </w:rPr>
        <w:t>因承包人违约解除合同后，监理人应尽快通过调查取证并与发包人和承包人协商后确定并证明：</w:t>
      </w:r>
    </w:p>
    <w:p>
      <w:pPr>
        <w:pStyle w:val="BodyText"/>
        <w:spacing w:before="21"/>
        <w:ind w:left="447"/>
      </w:pPr>
      <w:r>
        <w:rPr>
          <w:color w:val="231F20"/>
        </w:rPr>
        <w:t>（ 1）在解除合同时，承包人根据合同实际完成的工作已经得到或应得到的金额。</w:t>
      </w:r>
    </w:p>
    <w:p>
      <w:pPr>
        <w:pStyle w:val="BodyText"/>
        <w:ind w:left="447"/>
      </w:pPr>
      <w:r>
        <w:rPr>
          <w:color w:val="231F20"/>
        </w:rPr>
        <w:t>（ 2）未用或已经部分使用的材料、承包人设备和临时工程等的估算金额。</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解除合同后的付款</w:t>
      </w:r>
    </w:p>
    <w:p>
      <w:pPr>
        <w:pStyle w:val="BodyText"/>
        <w:spacing w:line="304" w:lineRule="auto"/>
        <w:ind w:right="205" w:firstLine="330"/>
        <w:jc w:val="both"/>
      </w:pPr>
      <w:r>
        <w:rPr>
          <w:color w:val="231F20"/>
        </w:rPr>
        <w:t>（ 1）若因承包人违约解除合同，则发包人应暂停对承包人的一切付款，并应在解除合同后发包人认为合适的时间，委托监理人查清以下付款金额，并出具付款证书报送发包人审批后支付。</w:t>
      </w:r>
    </w:p>
    <w:p>
      <w:pPr>
        <w:pStyle w:val="BodyText"/>
        <w:spacing w:before="20"/>
        <w:ind w:left="557"/>
      </w:pPr>
      <w:r>
        <w:rPr>
          <w:color w:val="231F20"/>
        </w:rPr>
        <w:t>①承包人按合同规定已完成的各项工作应得的金额和其他应得的金额；</w:t>
      </w:r>
    </w:p>
    <w:p>
      <w:pPr>
        <w:pStyle w:val="BodyText"/>
        <w:spacing w:before="88"/>
        <w:ind w:left="557"/>
      </w:pPr>
      <w:r>
        <w:rPr>
          <w:color w:val="231F20"/>
        </w:rPr>
        <w:t>②承包人已获得发包人的各项付款金额；</w:t>
      </w:r>
    </w:p>
    <w:p>
      <w:pPr>
        <w:pStyle w:val="BodyText"/>
        <w:spacing w:before="88"/>
        <w:ind w:left="557"/>
      </w:pPr>
      <w:r>
        <w:rPr>
          <w:color w:val="231F20"/>
        </w:rPr>
        <w:t>③承包人按合同规定应支付的逾期完工违约金和其他应付金额；</w:t>
      </w:r>
    </w:p>
    <w:p>
      <w:pPr>
        <w:pStyle w:val="BodyText"/>
        <w:spacing w:before="88"/>
        <w:ind w:left="557"/>
      </w:pPr>
      <w:r>
        <w:rPr>
          <w:color w:val="231F20"/>
        </w:rPr>
        <w:t>④由于解除合同，承包人应合理赔偿发包人损失的金额。</w:t>
      </w:r>
    </w:p>
    <w:p>
      <w:pPr>
        <w:pStyle w:val="BodyText"/>
        <w:spacing w:line="304" w:lineRule="auto" w:before="88"/>
        <w:ind w:right="205" w:firstLine="330"/>
        <w:jc w:val="both"/>
      </w:pPr>
      <w:r>
        <w:rPr>
          <w:color w:val="231F20"/>
        </w:rPr>
        <w:t>（ 2）监理人出具上述付款证书前，发包人可不再向承包人支付合同规定的任何金额。此后，承包人有权得到按本款（ 1）项①减去②、③和④的余额，若上述②、③和④相加的金额超过①的金额时，则承包人应将超出部分付还给发包人。</w:t>
      </w:r>
    </w:p>
    <w:p>
      <w:pPr>
        <w:spacing w:after="0" w:line="304" w:lineRule="auto"/>
        <w:jc w:val="both"/>
        <w:sectPr>
          <w:pgSz w:w="11910" w:h="16840"/>
          <w:pgMar w:header="0" w:footer="832" w:top="1580" w:bottom="1020" w:left="1300" w:right="1200"/>
        </w:sectPr>
      </w:pPr>
    </w:p>
    <w:p>
      <w:pPr>
        <w:pStyle w:val="ListParagraph"/>
        <w:numPr>
          <w:ilvl w:val="1"/>
          <w:numId w:val="7"/>
        </w:numPr>
        <w:tabs>
          <w:tab w:pos="1158" w:val="left" w:leader="none"/>
          <w:tab w:pos="1159" w:val="left" w:leader="none"/>
        </w:tabs>
        <w:spacing w:line="240" w:lineRule="auto" w:before="24" w:after="0"/>
        <w:ind w:left="1158" w:right="0" w:hanging="601"/>
        <w:jc w:val="left"/>
        <w:rPr>
          <w:sz w:val="22"/>
        </w:rPr>
      </w:pPr>
      <w:r>
        <w:rPr>
          <w:color w:val="231F20"/>
          <w:sz w:val="22"/>
        </w:rPr>
        <w:t>协议利益的转让</w:t>
      </w:r>
    </w:p>
    <w:p>
      <w:pPr>
        <w:pStyle w:val="BodyText"/>
        <w:spacing w:line="304" w:lineRule="auto"/>
        <w:ind w:right="213" w:firstLine="440"/>
        <w:jc w:val="both"/>
      </w:pPr>
      <w:r>
        <w:rPr>
          <w:color w:val="231F20"/>
        </w:rPr>
        <w:t>若因承包人违约解除合同，则发包人为保证工程延续施工，有权要求承包人将其为实施本合同而签订的任何材料和设备的提供或任何服务的协议和利益转让给发包人，并在解除合同后的 14 天内，通过法律程序办理这种转让。</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紧急情况下无能力或不愿进行抢救</w:t>
      </w:r>
    </w:p>
    <w:p>
      <w:pPr>
        <w:pStyle w:val="BodyText"/>
        <w:spacing w:line="304" w:lineRule="auto"/>
        <w:ind w:right="199" w:firstLine="440"/>
      </w:pPr>
      <w:r>
        <w:rPr>
          <w:color w:val="231F20"/>
          <w:spacing w:val="-1"/>
        </w:rPr>
        <w:t>在工程实施期间或保修期内发生危及工程安全的事件，当监理人通知承包人进行抢救时， </w:t>
      </w:r>
      <w:r>
        <w:rPr>
          <w:color w:val="231F20"/>
          <w:spacing w:val="-5"/>
        </w:rPr>
        <w:t>承包人声明无能力执行或不愿立即执行，则发包人有权雇用其他人员进行该项工作。若此类工作按合同规定应由承包人负责，由此引起的费用应由监理人在发包人支付给承包人的金额中扣除， 监理人应与发包人协商后将作出的决定通知承包人。</w:t>
      </w:r>
    </w:p>
    <w:p>
      <w:pPr>
        <w:pStyle w:val="ListParagraph"/>
        <w:numPr>
          <w:ilvl w:val="0"/>
          <w:numId w:val="7"/>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发包人违约</w:t>
      </w:r>
    </w:p>
    <w:p>
      <w:pPr>
        <w:pStyle w:val="ListParagraph"/>
        <w:numPr>
          <w:ilvl w:val="1"/>
          <w:numId w:val="7"/>
        </w:numPr>
        <w:tabs>
          <w:tab w:pos="1158" w:val="left" w:leader="none"/>
          <w:tab w:pos="1159" w:val="left" w:leader="none"/>
        </w:tabs>
        <w:spacing w:line="240" w:lineRule="auto" w:before="101" w:after="0"/>
        <w:ind w:left="1158" w:right="0" w:hanging="601"/>
        <w:jc w:val="left"/>
        <w:rPr>
          <w:sz w:val="22"/>
        </w:rPr>
      </w:pPr>
      <w:r>
        <w:rPr>
          <w:color w:val="231F20"/>
          <w:sz w:val="22"/>
        </w:rPr>
        <w:t>发包人违约</w:t>
      </w:r>
    </w:p>
    <w:p>
      <w:pPr>
        <w:pStyle w:val="BodyText"/>
        <w:spacing w:before="88"/>
        <w:ind w:left="557"/>
      </w:pPr>
      <w:r>
        <w:rPr>
          <w:color w:val="231F20"/>
        </w:rPr>
        <w:t>在履行合同过程中，发包人发生下述行为之一者属发包人违约。</w:t>
      </w:r>
    </w:p>
    <w:p>
      <w:pPr>
        <w:pStyle w:val="BodyText"/>
        <w:spacing w:line="304" w:lineRule="auto" w:before="88"/>
        <w:ind w:right="199" w:firstLine="330"/>
      </w:pPr>
      <w:r>
        <w:rPr>
          <w:color w:val="231F20"/>
        </w:rPr>
        <w:t>（ 1）发包人未能按合同规定的内容和时间提供施工用地、测量基准和应由发包人负责的部分准备工程等承包人施工所需的条件。</w:t>
      </w:r>
    </w:p>
    <w:p>
      <w:pPr>
        <w:pStyle w:val="BodyText"/>
        <w:spacing w:before="20"/>
        <w:ind w:left="447"/>
      </w:pPr>
      <w:r>
        <w:rPr>
          <w:color w:val="231F20"/>
        </w:rPr>
        <w:t>（ 2）发包人未能按合同规定的期限向承包人提供应由发包人负责的施工图纸。</w:t>
      </w:r>
    </w:p>
    <w:p>
      <w:pPr>
        <w:pStyle w:val="BodyText"/>
        <w:spacing w:line="304" w:lineRule="auto"/>
        <w:ind w:right="199" w:firstLine="330"/>
      </w:pPr>
      <w:r>
        <w:rPr>
          <w:color w:val="231F20"/>
        </w:rPr>
        <w:t>（ 3）发包人未能按合同规定的时间支付各项预付款或合同价款，或拖延、拒绝批准付款申请和支付凭证，导致付款延误。</w:t>
      </w:r>
    </w:p>
    <w:p>
      <w:pPr>
        <w:pStyle w:val="BodyText"/>
        <w:spacing w:before="21"/>
        <w:ind w:left="447"/>
      </w:pPr>
      <w:r>
        <w:rPr>
          <w:color w:val="231F20"/>
        </w:rPr>
        <w:t>（ 4）</w:t>
      </w:r>
      <w:r>
        <w:rPr>
          <w:color w:val="231F20"/>
          <w:spacing w:val="-5"/>
        </w:rPr>
        <w:t>由于法律、财务等原因导致发包人已无法继续履行或实质上已停止履行本合同的义务。</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承包人有权暂停施工</w:t>
      </w:r>
    </w:p>
    <w:p>
      <w:pPr>
        <w:pStyle w:val="BodyText"/>
        <w:spacing w:line="304" w:lineRule="auto"/>
        <w:ind w:right="53" w:firstLine="330"/>
      </w:pPr>
      <w:r>
        <w:rPr>
          <w:color w:val="231F20"/>
        </w:rPr>
        <w:t>（ 1</w:t>
      </w:r>
      <w:r>
        <w:rPr>
          <w:color w:val="231F20"/>
          <w:spacing w:val="0"/>
        </w:rPr>
        <w:t>）</w:t>
      </w:r>
      <w:r>
        <w:rPr>
          <w:color w:val="231F20"/>
        </w:rPr>
        <w:t>若发生第 42.1 款（ </w:t>
      </w:r>
      <w:r>
        <w:rPr>
          <w:color w:val="231F20"/>
          <w:spacing w:val="-1"/>
        </w:rPr>
        <w:t>1</w:t>
      </w:r>
      <w:r>
        <w:rPr>
          <w:color w:val="231F20"/>
          <w:spacing w:val="-110"/>
        </w:rPr>
        <w:t>）、</w:t>
      </w:r>
      <w:r>
        <w:rPr>
          <w:color w:val="231F20"/>
        </w:rPr>
        <w:t>（ 2</w:t>
      </w:r>
      <w:r>
        <w:rPr>
          <w:color w:val="231F20"/>
          <w:spacing w:val="0"/>
        </w:rPr>
        <w:t>）</w:t>
      </w:r>
      <w:r>
        <w:rPr>
          <w:color w:val="231F20"/>
        </w:rPr>
        <w:t>项的违约时，承包人应及时向发包人和监理人发出通知，要求发包人采取有效措施限期提供上述条件和图纸，并有权要求延长工期和补偿额外费用。监理人收到承包人通知后，应立即与发包人和承包人共同协商补救办法。由此增加的费用和工期延误责任，由发包人承担。</w:t>
      </w:r>
    </w:p>
    <w:p>
      <w:pPr>
        <w:pStyle w:val="BodyText"/>
        <w:spacing w:line="304" w:lineRule="auto" w:before="21"/>
        <w:ind w:right="199" w:firstLine="440"/>
      </w:pPr>
      <w:r>
        <w:rPr>
          <w:color w:val="231F20"/>
        </w:rPr>
        <w:t>发包人收到承包人通知后的 28 天内仍未采取措施改正，则承包人有权暂停施工，并通知发包人和监理人。由此增加的费用和工期延误责任，由发包人承担。</w:t>
      </w:r>
    </w:p>
    <w:p>
      <w:pPr>
        <w:pStyle w:val="BodyText"/>
        <w:spacing w:line="304" w:lineRule="auto" w:before="21"/>
        <w:ind w:firstLine="330"/>
      </w:pPr>
      <w:r>
        <w:rPr>
          <w:color w:val="231F20"/>
        </w:rPr>
        <w:t>（ </w:t>
      </w:r>
      <w:r>
        <w:rPr>
          <w:color w:val="231F20"/>
          <w:spacing w:val="-19"/>
        </w:rPr>
        <w:t>2）</w:t>
      </w:r>
      <w:r>
        <w:rPr>
          <w:color w:val="231F20"/>
          <w:spacing w:val="-1"/>
        </w:rPr>
        <w:t>若发生第 </w:t>
      </w:r>
      <w:r>
        <w:rPr>
          <w:color w:val="231F20"/>
        </w:rPr>
        <w:t>42.1</w:t>
      </w:r>
      <w:r>
        <w:rPr>
          <w:color w:val="231F20"/>
          <w:spacing w:val="-19"/>
        </w:rPr>
        <w:t> 款</w:t>
      </w:r>
      <w:r>
        <w:rPr>
          <w:color w:val="231F20"/>
        </w:rPr>
        <w:t>（ </w:t>
      </w:r>
      <w:r>
        <w:rPr>
          <w:color w:val="231F20"/>
          <w:spacing w:val="-19"/>
        </w:rPr>
        <w:t>3）</w:t>
      </w:r>
      <w:r>
        <w:rPr>
          <w:color w:val="231F20"/>
          <w:spacing w:val="-1"/>
        </w:rPr>
        <w:t>项的违约时，发包人应按第 </w:t>
      </w:r>
      <w:r>
        <w:rPr>
          <w:color w:val="231F20"/>
        </w:rPr>
        <w:t>33.4</w:t>
      </w:r>
      <w:r>
        <w:rPr>
          <w:color w:val="231F20"/>
          <w:spacing w:val="-1"/>
        </w:rPr>
        <w:t> 款的规定加付逾期付款违约金， </w:t>
      </w:r>
      <w:r>
        <w:rPr>
          <w:color w:val="231F20"/>
          <w:spacing w:val="2"/>
        </w:rPr>
        <w:t>逾期 </w:t>
      </w:r>
      <w:r>
        <w:rPr>
          <w:color w:val="231F20"/>
        </w:rPr>
        <w:t>28 天仍不支付，则承包人有权暂停施工，并通知发包人和监理人。由此增加的费用和工期延误责任，由发包人承担。</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发包人违约解除合同</w:t>
      </w:r>
    </w:p>
    <w:p>
      <w:pPr>
        <w:pStyle w:val="BodyText"/>
        <w:spacing w:line="304" w:lineRule="auto"/>
        <w:ind w:right="29" w:firstLine="440"/>
      </w:pPr>
      <w:r>
        <w:rPr>
          <w:color w:val="231F20"/>
          <w:spacing w:val="1"/>
        </w:rPr>
        <w:t>若发生第 </w:t>
      </w:r>
      <w:r>
        <w:rPr>
          <w:color w:val="231F20"/>
          <w:spacing w:val="-1"/>
        </w:rPr>
        <w:t>4</w:t>
      </w:r>
      <w:r>
        <w:rPr>
          <w:color w:val="231F20"/>
        </w:rPr>
        <w:t>2.1 款（ 3</w:t>
      </w:r>
      <w:r>
        <w:rPr>
          <w:color w:val="231F20"/>
          <w:spacing w:val="-110"/>
        </w:rPr>
        <w:t>）、</w:t>
      </w:r>
      <w:r>
        <w:rPr>
          <w:color w:val="231F20"/>
        </w:rPr>
        <w:t>（ 4</w:t>
      </w:r>
      <w:r>
        <w:rPr>
          <w:color w:val="231F20"/>
          <w:spacing w:val="3"/>
        </w:rPr>
        <w:t>）</w:t>
      </w:r>
      <w:r>
        <w:rPr>
          <w:color w:val="231F20"/>
        </w:rPr>
        <w:t>项的违约时，承包人已按第 42.2 款的规定发出通知，并采取</w:t>
      </w:r>
      <w:r>
        <w:rPr>
          <w:color w:val="231F20"/>
          <w:spacing w:val="3"/>
        </w:rPr>
        <w:t>了暂停施工的行动后，发包人仍不采取有效措施纠正其违约行为，承包人有权向发包人提出</w:t>
      </w:r>
      <w:r>
        <w:rPr>
          <w:color w:val="231F20"/>
        </w:rPr>
        <w:t>解除合同的要求，并抄送监理人。发包人在收到承包人书面要求后的 28 天内仍不答复承包人， 则承包人有权立即采取行动解除合同。</w:t>
      </w:r>
    </w:p>
    <w:p>
      <w:pPr>
        <w:spacing w:after="0" w:line="304" w:lineRule="auto"/>
        <w:sectPr>
          <w:footerReference w:type="even" r:id="rId17"/>
          <w:footerReference w:type="default" r:id="rId18"/>
          <w:pgSz w:w="11910" w:h="16840"/>
          <w:pgMar w:footer="832" w:header="0" w:top="1580" w:bottom="1020" w:left="1300" w:right="1200"/>
          <w:pgNumType w:start="32"/>
        </w:sectPr>
      </w:pPr>
    </w:p>
    <w:p>
      <w:pPr>
        <w:pStyle w:val="ListParagraph"/>
        <w:numPr>
          <w:ilvl w:val="1"/>
          <w:numId w:val="7"/>
        </w:numPr>
        <w:tabs>
          <w:tab w:pos="1158" w:val="left" w:leader="none"/>
          <w:tab w:pos="1159" w:val="left" w:leader="none"/>
        </w:tabs>
        <w:spacing w:line="240" w:lineRule="auto" w:before="24" w:after="0"/>
        <w:ind w:left="1158" w:right="0" w:hanging="601"/>
        <w:jc w:val="left"/>
        <w:rPr>
          <w:sz w:val="22"/>
        </w:rPr>
      </w:pPr>
      <w:r>
        <w:rPr>
          <w:color w:val="231F20"/>
          <w:sz w:val="22"/>
        </w:rPr>
        <w:t>解除合同后的付款</w:t>
      </w:r>
    </w:p>
    <w:p>
      <w:pPr>
        <w:pStyle w:val="BodyText"/>
        <w:spacing w:line="304" w:lineRule="auto"/>
        <w:ind w:right="103" w:firstLine="440"/>
      </w:pPr>
      <w:r>
        <w:rPr>
          <w:color w:val="231F20"/>
          <w:spacing w:val="0"/>
        </w:rPr>
        <w:t>若因发包人违约解除合同，则发包人应在解除合同后 </w:t>
      </w:r>
      <w:r>
        <w:rPr>
          <w:color w:val="231F20"/>
        </w:rPr>
        <w:t>28</w:t>
      </w:r>
      <w:r>
        <w:rPr>
          <w:color w:val="231F20"/>
          <w:spacing w:val="2"/>
        </w:rPr>
        <w:t> 天内向承包人支付合同解除日以</w:t>
      </w:r>
      <w:r>
        <w:rPr>
          <w:color w:val="231F20"/>
        </w:rPr>
        <w:t>前所完成工程的价款和以下费用（应减去已支付给承包人的金额</w:t>
      </w:r>
      <w:r>
        <w:rPr>
          <w:color w:val="231F20"/>
          <w:spacing w:val="-83"/>
        </w:rPr>
        <w:t>）</w:t>
      </w:r>
      <w:r>
        <w:rPr>
          <w:color w:val="231F20"/>
        </w:rPr>
        <w:t>。</w:t>
      </w:r>
    </w:p>
    <w:p>
      <w:pPr>
        <w:pStyle w:val="BodyText"/>
        <w:spacing w:line="304" w:lineRule="auto" w:before="21"/>
        <w:ind w:right="103" w:firstLine="330"/>
      </w:pPr>
      <w:r>
        <w:rPr>
          <w:color w:val="231F20"/>
        </w:rPr>
        <w:t>（ 1）</w:t>
      </w:r>
      <w:r>
        <w:rPr>
          <w:color w:val="231F20"/>
          <w:spacing w:val="-8"/>
        </w:rPr>
        <w:t>即将支付承包人的，或承包人依法应予接收的为该工程合理订购的材料、工程设备和其</w:t>
      </w:r>
      <w:r>
        <w:rPr>
          <w:color w:val="231F20"/>
          <w:spacing w:val="-9"/>
        </w:rPr>
        <w:t>他物品的费用。发包人一经支付此项费用，该材料、工程设备和其他物品即成为发包人的财产。</w:t>
      </w:r>
    </w:p>
    <w:p>
      <w:pPr>
        <w:pStyle w:val="BodyText"/>
        <w:spacing w:before="21"/>
        <w:ind w:left="447"/>
      </w:pPr>
      <w:r>
        <w:rPr>
          <w:color w:val="231F20"/>
        </w:rPr>
        <w:t>（ 2）已合理开支的、确属承包人为完成工程所发生的而发包人未支付的费用。</w:t>
      </w:r>
    </w:p>
    <w:p>
      <w:pPr>
        <w:pStyle w:val="BodyText"/>
        <w:ind w:left="447"/>
      </w:pPr>
      <w:r>
        <w:rPr>
          <w:color w:val="231F20"/>
        </w:rPr>
        <w:t>（ 3）承包人设备运回承包人基地或合同另行规定的地点的合理费用。</w:t>
      </w:r>
    </w:p>
    <w:p>
      <w:pPr>
        <w:pStyle w:val="BodyText"/>
        <w:spacing w:line="304" w:lineRule="auto"/>
        <w:ind w:right="99" w:firstLine="330"/>
      </w:pPr>
      <w:r>
        <w:rPr>
          <w:color w:val="231F20"/>
        </w:rPr>
        <w:t>（ 4）承包人雇用的所有从事工程施工或与工程有关的职员和工人在合同解除后的遣返费和其他合理费用。</w:t>
      </w:r>
    </w:p>
    <w:p>
      <w:pPr>
        <w:pStyle w:val="BodyText"/>
        <w:spacing w:before="21"/>
        <w:ind w:left="447"/>
      </w:pPr>
      <w:r>
        <w:rPr>
          <w:color w:val="231F20"/>
        </w:rPr>
        <w:t>（ 5）由于解除合同应合理补偿承包人损失的费用和利润。</w:t>
      </w:r>
    </w:p>
    <w:p>
      <w:pPr>
        <w:pStyle w:val="BodyText"/>
        <w:ind w:left="447"/>
      </w:pPr>
      <w:r>
        <w:rPr>
          <w:color w:val="231F20"/>
        </w:rPr>
        <w:t>（ 6）在合同解除日前按合同规定应支付给承包人的其他费用。</w:t>
      </w:r>
    </w:p>
    <w:p>
      <w:pPr>
        <w:pStyle w:val="BodyText"/>
        <w:spacing w:line="304" w:lineRule="auto"/>
        <w:ind w:right="113" w:firstLine="440"/>
        <w:jc w:val="both"/>
      </w:pPr>
      <w:r>
        <w:rPr>
          <w:color w:val="231F20"/>
        </w:rPr>
        <w:t>发包人除应按本款规定支付上述费用和退还履约担保证件外，亦有权要求承包人偿还未扣完的全部预付款余额以及按合同规定应由发包人向承包人收回的其他金额。本款规定的任何应付金额应由监理人与发包人和承包人协商后确定，监理人应将确定的结果通知承包人。</w:t>
      </w:r>
    </w:p>
    <w:p>
      <w:pPr>
        <w:pStyle w:val="ListParagraph"/>
        <w:numPr>
          <w:ilvl w:val="0"/>
          <w:numId w:val="7"/>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索赔</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索赔的提出</w:t>
      </w:r>
    </w:p>
    <w:p>
      <w:pPr>
        <w:pStyle w:val="BodyText"/>
        <w:spacing w:line="304" w:lineRule="auto"/>
        <w:ind w:right="109" w:firstLine="440"/>
        <w:jc w:val="both"/>
      </w:pPr>
      <w:r>
        <w:rPr>
          <w:color w:val="231F20"/>
        </w:rPr>
        <w:t>承包人有权根据本合同任何条款及其他有关规定，向发包人索取追加付款，但应在索赔事件发生后的 28 天内，将索赔意向书提交发包人和监理人。在上述意向书发出后的 28 天内，再向监理人提交索赔申请报告，详细说明索赔理由和索赔费用的计算依据，并应附必要的当时记录和证明材料。如果索赔事件继续发展或继续产生影响，承包人应按监理人要求的合理时间间隔列出索赔累计金额和提出中期索赔申请报告，并在索赔事件影响结束后的 28 天内，向发包人和监理人提交包括最终索赔金额、延续记录、证明材料在内的最终索赔申请报告。</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索赔的处理</w:t>
      </w:r>
    </w:p>
    <w:p>
      <w:pPr>
        <w:pStyle w:val="BodyText"/>
        <w:spacing w:line="304" w:lineRule="auto"/>
        <w:ind w:right="113" w:firstLine="330"/>
        <w:jc w:val="both"/>
      </w:pPr>
      <w:r>
        <w:rPr>
          <w:color w:val="231F20"/>
        </w:rPr>
        <w:t>（ 1）监理人收到承包人提交的索赔意向书后，应及时核查承包人的当时记录，并可指示承包人提供进一步的支持文件和继续作好延续记录以备核查，监理人可要求承包人提交全部记录的副本。</w:t>
      </w:r>
    </w:p>
    <w:p>
      <w:pPr>
        <w:pStyle w:val="BodyText"/>
        <w:spacing w:line="304" w:lineRule="auto" w:before="20"/>
        <w:ind w:firstLine="330"/>
      </w:pPr>
      <w:r>
        <w:rPr>
          <w:color w:val="231F20"/>
        </w:rPr>
        <w:t>（ </w:t>
      </w:r>
      <w:r>
        <w:rPr>
          <w:color w:val="231F20"/>
          <w:spacing w:val="-4"/>
        </w:rPr>
        <w:t>2）</w:t>
      </w:r>
      <w:r>
        <w:rPr>
          <w:color w:val="231F20"/>
          <w:spacing w:val="-1"/>
        </w:rPr>
        <w:t>监理人收到承包人提交的索赔申请报告和最终索赔申请报告后的 </w:t>
      </w:r>
      <w:r>
        <w:rPr>
          <w:color w:val="231F20"/>
          <w:spacing w:val="-3"/>
        </w:rPr>
        <w:t>42</w:t>
      </w:r>
      <w:r>
        <w:rPr>
          <w:color w:val="231F20"/>
          <w:spacing w:val="-6"/>
        </w:rPr>
        <w:t> 天内，应立即进行</w:t>
      </w:r>
      <w:r>
        <w:rPr>
          <w:color w:val="231F20"/>
          <w:spacing w:val="-5"/>
        </w:rPr>
        <w:t>审核，并与发包人和承包人充分协商后作出决定，在上述期限内将索赔处理决定通知承包人。</w:t>
      </w:r>
    </w:p>
    <w:p>
      <w:pPr>
        <w:pStyle w:val="BodyText"/>
        <w:spacing w:line="304" w:lineRule="auto" w:before="20"/>
        <w:ind w:right="103" w:firstLine="330"/>
      </w:pPr>
      <w:r>
        <w:rPr>
          <w:color w:val="231F20"/>
        </w:rPr>
        <w:t>（ 3）发包人和承包人应在收到监理人的索赔处理决定后 14 天内，将其是否同意索赔处理决定的意见通知监理人。若双方均接受监理人的决定，则监理人应在收到上述通知后的 14 天</w:t>
      </w:r>
    </w:p>
    <w:p>
      <w:pPr>
        <w:pStyle w:val="BodyText"/>
        <w:spacing w:before="20"/>
      </w:pPr>
      <w:r>
        <w:rPr>
          <w:color w:val="231F20"/>
        </w:rPr>
        <w:t>内，将确定的索赔金额列入第 33 条、第 35 条或第 36 条规定的付款证书中支付；若双方或其中</w:t>
      </w:r>
    </w:p>
    <w:p>
      <w:pPr>
        <w:pStyle w:val="BodyText"/>
        <w:spacing w:before="88"/>
      </w:pPr>
      <w:r>
        <w:rPr>
          <w:color w:val="231F20"/>
        </w:rPr>
        <w:t>任一方不接受监理人的决定，则双方均可按第 44.1 款的规定提请争议调解组解决。</w:t>
      </w:r>
    </w:p>
    <w:p>
      <w:pPr>
        <w:pStyle w:val="BodyText"/>
        <w:spacing w:before="88"/>
        <w:ind w:left="447"/>
      </w:pPr>
      <w:r>
        <w:rPr>
          <w:color w:val="231F20"/>
        </w:rPr>
        <w:t>（ 4）若承包人不遵守本条各项索赔规定，则应得到的付款不能超过监理人核实后决定的或</w:t>
      </w:r>
    </w:p>
    <w:p>
      <w:pPr>
        <w:spacing w:after="0"/>
        <w:sectPr>
          <w:pgSz w:w="11910" w:h="16840"/>
          <w:pgMar w:header="0" w:footer="832" w:top="1580" w:bottom="1020" w:left="1300" w:right="1300"/>
        </w:sectPr>
      </w:pPr>
    </w:p>
    <w:p>
      <w:pPr>
        <w:pStyle w:val="BodyText"/>
        <w:spacing w:before="24"/>
      </w:pPr>
      <w:r>
        <w:rPr>
          <w:color w:val="231F20"/>
        </w:rPr>
        <w:t>争议调解组按第 44.3 款规定提出的或由仲裁机构裁定的金额。</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提出索赔的期限</w:t>
      </w:r>
    </w:p>
    <w:p>
      <w:pPr>
        <w:pStyle w:val="BodyText"/>
        <w:spacing w:line="304" w:lineRule="auto"/>
        <w:ind w:right="108" w:firstLine="330"/>
        <w:jc w:val="both"/>
      </w:pPr>
      <w:r>
        <w:rPr>
          <w:color w:val="231F20"/>
        </w:rPr>
        <w:t>（ 1）承包人按第 35.1 款的规定提交了完工付款申请单后，应认为已无权再提出在本合同工程移交证书颁发前所发生的任何索赔。</w:t>
      </w:r>
    </w:p>
    <w:p>
      <w:pPr>
        <w:pStyle w:val="BodyText"/>
        <w:spacing w:line="304" w:lineRule="auto" w:before="21"/>
        <w:ind w:right="108" w:firstLine="330"/>
        <w:jc w:val="both"/>
      </w:pPr>
      <w:r>
        <w:rPr>
          <w:color w:val="231F20"/>
        </w:rPr>
        <w:t>（ 2）承包人按第 36.1 款规定提交的最终付款申请单中，只限于提出本合同工程移交证书颁发后发生的索赔。提出索赔的终止期限是提交最终付款申请单的时间。</w:t>
      </w:r>
    </w:p>
    <w:p>
      <w:pPr>
        <w:pStyle w:val="Heading2"/>
      </w:pPr>
      <w:r>
        <w:rPr>
          <w:color w:val="231F20"/>
        </w:rPr>
        <w:t>十九、争议的解决</w:t>
      </w:r>
    </w:p>
    <w:p>
      <w:pPr>
        <w:pStyle w:val="ListParagraph"/>
        <w:numPr>
          <w:ilvl w:val="0"/>
          <w:numId w:val="7"/>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争议调解</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争议的提出</w:t>
      </w:r>
    </w:p>
    <w:p>
      <w:pPr>
        <w:pStyle w:val="BodyText"/>
        <w:spacing w:line="304" w:lineRule="auto"/>
        <w:ind w:right="116" w:firstLine="440"/>
        <w:jc w:val="both"/>
      </w:pPr>
      <w:r>
        <w:rPr>
          <w:color w:val="231F20"/>
        </w:rPr>
        <w:t>发包人和承包人或其中任一方对监理人作出的决定持有异议，又未能在监理人的协调下取得一致意见而形成争议，任一方均可以书面形式提请争议调解组解决，并抄送另一方。在争议尚未按第 44.3 款的规定获得解决之前，承包人仍应继续按监理人的指示认真施工。</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争议调解组</w:t>
      </w:r>
    </w:p>
    <w:p>
      <w:pPr>
        <w:pStyle w:val="BodyText"/>
        <w:spacing w:line="304" w:lineRule="auto"/>
        <w:ind w:right="109" w:firstLine="440"/>
        <w:jc w:val="both"/>
      </w:pPr>
      <w:r>
        <w:rPr>
          <w:color w:val="231F20"/>
        </w:rPr>
        <w:t>发包人和承包人应在签订协议书后的 84 天内，按本款规定共同协商成立争议调解组，并由双方与争议调解组签订协议。争议调解组由 3（或 5）名有合同管理和工程实践经验的专家组成，专家的聘请方法可由发包人和承包人共同协商确定，亦可请政府主管部门推荐或通过行业合同争议调解机构聘请，并经双方认同。争议调解组成员应与合同双方均无利害关系。争议调解组的各项费用由发包人和承包人平均分担。</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争议的评审</w:t>
      </w:r>
    </w:p>
    <w:p>
      <w:pPr>
        <w:pStyle w:val="BodyText"/>
        <w:spacing w:line="304" w:lineRule="auto"/>
        <w:ind w:right="115" w:firstLine="330"/>
        <w:jc w:val="both"/>
      </w:pPr>
      <w:r>
        <w:rPr>
          <w:color w:val="231F20"/>
        </w:rPr>
        <w:t>（ 1）合同双方的争议，应首先由主诉方向争议调解组提交一份详细的申诉报告，并附有必要的文件图纸和证明材料，主诉方还应将上述报告的一份副本同时提交给被诉方。</w:t>
      </w:r>
    </w:p>
    <w:p>
      <w:pPr>
        <w:pStyle w:val="BodyText"/>
        <w:spacing w:line="304" w:lineRule="auto" w:before="20"/>
        <w:ind w:right="114" w:firstLine="330"/>
        <w:jc w:val="both"/>
      </w:pPr>
      <w:r>
        <w:rPr>
          <w:color w:val="231F20"/>
        </w:rPr>
        <w:t>（ 2）争议的被诉方收到主诉方申诉报告副本后的 28 天内，亦应向争议调解组提交一份申辩报告，并附有必要的文件图纸和证明材料。被诉方亦应将其报告的一份副本同时提交给主诉方。</w:t>
      </w:r>
    </w:p>
    <w:p>
      <w:pPr>
        <w:pStyle w:val="BodyText"/>
        <w:spacing w:line="304" w:lineRule="auto" w:before="20"/>
        <w:ind w:right="111" w:firstLine="330"/>
        <w:jc w:val="both"/>
      </w:pPr>
      <w:r>
        <w:rPr>
          <w:color w:val="231F20"/>
        </w:rPr>
        <w:t>（ 3）</w:t>
      </w:r>
      <w:r>
        <w:rPr>
          <w:color w:val="231F20"/>
          <w:spacing w:val="1"/>
        </w:rPr>
        <w:t>争议调解组收到双方报告后的 </w:t>
      </w:r>
      <w:r>
        <w:rPr>
          <w:color w:val="231F20"/>
        </w:rPr>
        <w:t>28</w:t>
      </w:r>
      <w:r>
        <w:rPr>
          <w:color w:val="231F20"/>
          <w:spacing w:val="1"/>
        </w:rPr>
        <w:t> 天内，邀请双方代表和有关人员举行听证会，向双</w:t>
      </w:r>
      <w:r>
        <w:rPr>
          <w:color w:val="231F20"/>
          <w:spacing w:val="-5"/>
        </w:rPr>
        <w:t>方调查和质询争议细节；若需要时，争议调解组可要求双方提供进一步的补充材料，并邀请监理人代表参加听证会。</w:t>
      </w:r>
    </w:p>
    <w:p>
      <w:pPr>
        <w:pStyle w:val="BodyText"/>
        <w:spacing w:line="304" w:lineRule="auto" w:before="20"/>
        <w:ind w:right="111" w:firstLine="330"/>
        <w:jc w:val="both"/>
      </w:pPr>
      <w:r>
        <w:rPr>
          <w:color w:val="231F20"/>
        </w:rPr>
        <w:t>（ 4）在听证会结束后的 28 天内，争议调解组应在不受任何干扰的情况下，进行独立和公正的评审，提出由全体专家签名的评审意见提交发包人和承包人，并抄送监理人。</w:t>
      </w:r>
    </w:p>
    <w:p>
      <w:pPr>
        <w:pStyle w:val="BodyText"/>
        <w:spacing w:line="304" w:lineRule="auto" w:before="20"/>
        <w:ind w:right="115" w:firstLine="330"/>
        <w:jc w:val="both"/>
      </w:pPr>
      <w:r>
        <w:rPr>
          <w:color w:val="231F20"/>
        </w:rPr>
        <w:t>（ 5）若发包人和承包人接受争议调解组的评审意见，则应由监理人按争议调解组的评审意见拟定争议解决议定书，经争议双方签字后作为合同的补充文件，并遵照执行。</w:t>
      </w:r>
    </w:p>
    <w:p>
      <w:pPr>
        <w:pStyle w:val="BodyText"/>
        <w:spacing w:before="20"/>
        <w:ind w:left="447"/>
      </w:pPr>
      <w:r>
        <w:rPr>
          <w:color w:val="231F20"/>
        </w:rPr>
        <w:t>（ 6）若发包人和承包人或其中任一方不接受争议调解组的评审意见，并要求提交仲裁，则</w:t>
      </w:r>
    </w:p>
    <w:p>
      <w:pPr>
        <w:spacing w:after="0"/>
        <w:sectPr>
          <w:pgSz w:w="11910" w:h="16840"/>
          <w:pgMar w:header="0" w:footer="832" w:top="1580" w:bottom="1020" w:left="1300" w:right="1300"/>
        </w:sectPr>
      </w:pPr>
    </w:p>
    <w:p>
      <w:pPr>
        <w:pStyle w:val="BodyText"/>
        <w:spacing w:before="24"/>
      </w:pPr>
      <w:r>
        <w:rPr>
          <w:color w:val="231F20"/>
        </w:rPr>
        <w:t>任一方均可在收到上述评审意见后的 28 天内将仲裁意向通知另一方，并抄送监理人。若在上</w:t>
      </w:r>
    </w:p>
    <w:p>
      <w:pPr>
        <w:pStyle w:val="BodyText"/>
      </w:pPr>
      <w:r>
        <w:rPr>
          <w:color w:val="231F20"/>
        </w:rPr>
        <w:t>述 28 天期限内双方均未提出仲裁意向，则争议调解组的意见为最终决定，双方均应遵照执行。</w:t>
      </w:r>
    </w:p>
    <w:p>
      <w:pPr>
        <w:pStyle w:val="ListParagraph"/>
        <w:numPr>
          <w:ilvl w:val="0"/>
          <w:numId w:val="7"/>
        </w:numPr>
        <w:tabs>
          <w:tab w:pos="1021" w:val="left" w:leader="none"/>
          <w:tab w:pos="1022" w:val="left" w:leader="none"/>
        </w:tabs>
        <w:spacing w:line="240" w:lineRule="auto" w:before="83"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友好解决</w:t>
      </w:r>
    </w:p>
    <w:p>
      <w:pPr>
        <w:pStyle w:val="BodyText"/>
        <w:spacing w:line="304" w:lineRule="auto" w:before="102"/>
        <w:ind w:right="209" w:firstLine="440"/>
        <w:jc w:val="both"/>
      </w:pPr>
      <w:r>
        <w:rPr>
          <w:color w:val="231F20"/>
        </w:rPr>
        <w:t>发包人和承包人或其中任一方按第 44.3 款（ 6）项的规定发出仲裁意向通知后，争议双方还应共同作出努力直接进行友好磋商解决争议，亦可提请政府主管部门或行业合同争议调解机构调解以寻求友好解决。若在仲裁意向通知发出后 42 天内仍未能解决争议，则任何一方均有权提请仲裁。</w:t>
      </w:r>
    </w:p>
    <w:p>
      <w:pPr>
        <w:pStyle w:val="ListParagraph"/>
        <w:numPr>
          <w:ilvl w:val="0"/>
          <w:numId w:val="7"/>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仲裁或诉讼</w:t>
      </w:r>
    </w:p>
    <w:p>
      <w:pPr>
        <w:pStyle w:val="ListParagraph"/>
        <w:numPr>
          <w:ilvl w:val="1"/>
          <w:numId w:val="7"/>
        </w:numPr>
        <w:tabs>
          <w:tab w:pos="1158" w:val="left" w:leader="none"/>
          <w:tab w:pos="1159" w:val="left" w:leader="none"/>
        </w:tabs>
        <w:spacing w:line="240" w:lineRule="auto" w:before="101" w:after="0"/>
        <w:ind w:left="1158" w:right="0" w:hanging="601"/>
        <w:jc w:val="left"/>
        <w:rPr>
          <w:sz w:val="22"/>
        </w:rPr>
      </w:pPr>
      <w:r>
        <w:rPr>
          <w:color w:val="231F20"/>
          <w:sz w:val="22"/>
        </w:rPr>
        <w:t>仲裁</w:t>
      </w:r>
    </w:p>
    <w:p>
      <w:pPr>
        <w:pStyle w:val="BodyText"/>
        <w:spacing w:line="304" w:lineRule="auto"/>
        <w:ind w:right="199" w:firstLine="330"/>
      </w:pPr>
      <w:r>
        <w:rPr>
          <w:color w:val="231F20"/>
        </w:rPr>
        <w:t>（ 1）发包人和承包人应在签订协议书的同时，共同协商确定本合同的仲裁范围和仲裁机构，并签订仲裁协议。</w:t>
      </w:r>
    </w:p>
    <w:p>
      <w:pPr>
        <w:pStyle w:val="BodyText"/>
        <w:spacing w:line="304" w:lineRule="auto" w:before="21"/>
        <w:ind w:right="199" w:firstLine="330"/>
      </w:pPr>
      <w:r>
        <w:rPr>
          <w:color w:val="231F20"/>
        </w:rPr>
        <w:t>（ 2）发包人和承包人未能在第 45 条规定的期限内友好解决双方的争议，则任一方均有权将争议提交仲裁协议中规定的仲裁机构仲裁。</w:t>
      </w:r>
    </w:p>
    <w:p>
      <w:pPr>
        <w:pStyle w:val="BodyText"/>
        <w:spacing w:line="304" w:lineRule="auto" w:before="21"/>
        <w:ind w:right="93" w:firstLine="330"/>
      </w:pPr>
      <w:r>
        <w:rPr>
          <w:color w:val="231F20"/>
        </w:rPr>
        <w:t>（ 3）在仲裁期间，发包人和承包人均应暂按监理人就该争议作出的决定履行各自的职责， 任何一方均不得以仲裁未果为借口拒绝或拖延按合同规定应进行的工作。</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诉讼</w:t>
      </w:r>
    </w:p>
    <w:p>
      <w:pPr>
        <w:pStyle w:val="BodyText"/>
        <w:ind w:left="557"/>
      </w:pPr>
      <w:r>
        <w:rPr>
          <w:color w:val="231F20"/>
          <w:spacing w:val="-9"/>
        </w:rPr>
        <w:t>发包人和承包人因本合同发生争议，未达成书面仲裁协议的，任一方均有权向人民法院起诉。</w:t>
      </w:r>
    </w:p>
    <w:p>
      <w:pPr>
        <w:pStyle w:val="BodyText"/>
        <w:spacing w:before="14"/>
        <w:ind w:left="0"/>
        <w:rPr>
          <w:sz w:val="15"/>
        </w:rPr>
      </w:pPr>
    </w:p>
    <w:p>
      <w:pPr>
        <w:pStyle w:val="Heading2"/>
        <w:spacing w:before="0"/>
      </w:pPr>
      <w:r>
        <w:rPr>
          <w:color w:val="231F20"/>
        </w:rPr>
        <w:t>二十、风险和保险</w:t>
      </w:r>
    </w:p>
    <w:p>
      <w:pPr>
        <w:pStyle w:val="ListParagraph"/>
        <w:numPr>
          <w:ilvl w:val="0"/>
          <w:numId w:val="7"/>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工程风险</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发包人的风险</w:t>
      </w:r>
    </w:p>
    <w:p>
      <w:pPr>
        <w:pStyle w:val="BodyText"/>
        <w:spacing w:line="304" w:lineRule="auto"/>
        <w:ind w:right="93" w:firstLine="440"/>
      </w:pPr>
      <w:r>
        <w:rPr>
          <w:color w:val="231F20"/>
        </w:rPr>
        <w:t>工程（包括材料和工程设备）发生以下各种风险造成的损失和损坏，均应由发包人承担风险责任。</w:t>
      </w:r>
    </w:p>
    <w:p>
      <w:pPr>
        <w:pStyle w:val="BodyText"/>
        <w:spacing w:before="20"/>
        <w:ind w:left="447"/>
      </w:pPr>
      <w:r>
        <w:rPr>
          <w:color w:val="231F20"/>
        </w:rPr>
        <w:t>（ 1）发包人负责的工程设计不当造成的损失和损坏。</w:t>
      </w:r>
    </w:p>
    <w:p>
      <w:pPr>
        <w:pStyle w:val="BodyText"/>
        <w:spacing w:before="88"/>
        <w:ind w:left="447"/>
      </w:pPr>
      <w:r>
        <w:rPr>
          <w:color w:val="231F20"/>
        </w:rPr>
        <w:t>（ 2）由于发包人责任造成工程设备的损失和损坏。</w:t>
      </w:r>
    </w:p>
    <w:p>
      <w:pPr>
        <w:pStyle w:val="BodyText"/>
        <w:spacing w:line="304" w:lineRule="auto" w:before="88"/>
        <w:ind w:right="199" w:firstLine="330"/>
      </w:pPr>
      <w:r>
        <w:rPr>
          <w:color w:val="231F20"/>
        </w:rPr>
        <w:t>（ 3）发包人和承包人均不能预见、不能避免并不能克服的自然灾害造成的损失和损坏，但承包人迟延履行合同后发生的除外。</w:t>
      </w:r>
    </w:p>
    <w:p>
      <w:pPr>
        <w:pStyle w:val="BodyText"/>
        <w:spacing w:before="20"/>
        <w:ind w:left="447"/>
      </w:pPr>
      <w:r>
        <w:rPr>
          <w:color w:val="231F20"/>
        </w:rPr>
        <w:t>（ 4）战争、动乱等社会因素造成的损失和损坏，但承包人迟延履行合同后发生的除外。</w:t>
      </w:r>
    </w:p>
    <w:p>
      <w:pPr>
        <w:pStyle w:val="BodyText"/>
        <w:ind w:left="447"/>
      </w:pPr>
      <w:r>
        <w:rPr>
          <w:color w:val="231F20"/>
        </w:rPr>
        <w:t>（ 5）其他由于发包人原因造成的损失和损坏。</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承包人的风险</w:t>
      </w:r>
    </w:p>
    <w:p>
      <w:pPr>
        <w:pStyle w:val="BodyText"/>
        <w:spacing w:line="304" w:lineRule="auto"/>
        <w:ind w:right="93" w:firstLine="440"/>
      </w:pPr>
      <w:r>
        <w:rPr>
          <w:color w:val="231F20"/>
        </w:rPr>
        <w:t>工程（包括材料和工程设备）发生以下各种风险造成的损失和损坏，均应由承包人承担风险责任。</w:t>
      </w:r>
    </w:p>
    <w:p>
      <w:pPr>
        <w:pStyle w:val="BodyText"/>
        <w:spacing w:before="21"/>
        <w:ind w:left="447"/>
      </w:pPr>
      <w:r>
        <w:rPr>
          <w:color w:val="231F20"/>
        </w:rPr>
        <w:t>（ 1）由于承包人对工程（包括材料和工程设备）照管不周造成的损失和损坏。</w:t>
      </w:r>
    </w:p>
    <w:p>
      <w:pPr>
        <w:spacing w:after="0"/>
        <w:sectPr>
          <w:pgSz w:w="11910" w:h="16840"/>
          <w:pgMar w:header="0" w:footer="832" w:top="1580" w:bottom="1020" w:left="1300" w:right="1200"/>
        </w:sectPr>
      </w:pPr>
    </w:p>
    <w:p>
      <w:pPr>
        <w:pStyle w:val="BodyText"/>
        <w:spacing w:before="24"/>
        <w:ind w:left="447"/>
      </w:pPr>
      <w:r>
        <w:rPr>
          <w:color w:val="231F20"/>
        </w:rPr>
        <w:t>（ 2）由于承包人的施工组织措施失误造成的损失和损坏。</w:t>
      </w:r>
    </w:p>
    <w:p>
      <w:pPr>
        <w:pStyle w:val="BodyText"/>
        <w:ind w:left="447"/>
      </w:pPr>
      <w:r>
        <w:rPr>
          <w:color w:val="231F20"/>
        </w:rPr>
        <w:t>（ 3）其他由于承包人原因造成的损失和损坏。</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风险责任的转移</w:t>
      </w:r>
    </w:p>
    <w:p>
      <w:pPr>
        <w:pStyle w:val="BodyText"/>
        <w:spacing w:line="304" w:lineRule="auto"/>
        <w:ind w:firstLine="440"/>
      </w:pPr>
      <w:r>
        <w:rPr>
          <w:color w:val="231F20"/>
          <w:spacing w:val="-1"/>
        </w:rPr>
        <w:t>工程通过完工验收并移交给发包人后，原由承包人按上述第 </w:t>
      </w:r>
      <w:r>
        <w:rPr>
          <w:color w:val="231F20"/>
        </w:rPr>
        <w:t>47.2</w:t>
      </w:r>
      <w:r>
        <w:rPr>
          <w:color w:val="231F20"/>
          <w:spacing w:val="-1"/>
        </w:rPr>
        <w:t> 款规定承担的风险责任同时转移给发包人（在保修期发生的在保修期前因承包人原因造成的损失和损坏除外</w:t>
      </w:r>
      <w:r>
        <w:rPr>
          <w:color w:val="231F20"/>
          <w:spacing w:val="-83"/>
        </w:rPr>
        <w:t>）</w:t>
      </w:r>
      <w:r>
        <w:rPr>
          <w:color w:val="231F20"/>
        </w:rPr>
        <w:t>。</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不可抗力解除合同</w:t>
      </w:r>
    </w:p>
    <w:p>
      <w:pPr>
        <w:pStyle w:val="BodyText"/>
        <w:spacing w:line="304" w:lineRule="auto"/>
        <w:ind w:right="114" w:firstLine="440"/>
        <w:jc w:val="both"/>
      </w:pPr>
      <w:r>
        <w:rPr>
          <w:color w:val="231F20"/>
        </w:rPr>
        <w:t>合同签订后发生第 47.1 款（ 3）和（ 4）项的风险造成工程的巨大损失和严重损坏，使双方或任何一方无法继续履行合同时，经双方协商后可解除合同。解除合同后的付款由双方协商处理。</w:t>
      </w:r>
    </w:p>
    <w:p>
      <w:pPr>
        <w:pStyle w:val="ListParagraph"/>
        <w:numPr>
          <w:ilvl w:val="0"/>
          <w:numId w:val="7"/>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工程保险和风险损失的补偿</w:t>
      </w:r>
    </w:p>
    <w:p>
      <w:pPr>
        <w:pStyle w:val="ListParagraph"/>
        <w:numPr>
          <w:ilvl w:val="1"/>
          <w:numId w:val="7"/>
        </w:numPr>
        <w:tabs>
          <w:tab w:pos="1158" w:val="left" w:leader="none"/>
          <w:tab w:pos="1159" w:val="left" w:leader="none"/>
        </w:tabs>
        <w:spacing w:line="240" w:lineRule="auto" w:before="101" w:after="0"/>
        <w:ind w:left="1158" w:right="0" w:hanging="601"/>
        <w:jc w:val="left"/>
        <w:rPr>
          <w:sz w:val="22"/>
        </w:rPr>
      </w:pPr>
      <w:r>
        <w:rPr>
          <w:color w:val="231F20"/>
          <w:sz w:val="22"/>
        </w:rPr>
        <w:t>工程和施工设备的保险</w:t>
      </w:r>
    </w:p>
    <w:p>
      <w:pPr>
        <w:pStyle w:val="BodyText"/>
        <w:spacing w:line="304" w:lineRule="auto" w:before="88"/>
        <w:ind w:right="115" w:firstLine="330"/>
        <w:jc w:val="both"/>
      </w:pPr>
      <w:r>
        <w:rPr>
          <w:color w:val="231F20"/>
        </w:rPr>
        <w:t>（ 1）承包人应以承包人和发包人的共同名义向发包人同意的保险公司投保工程险（包括材料和工程设备</w:t>
      </w:r>
      <w:r>
        <w:rPr>
          <w:color w:val="231F20"/>
          <w:spacing w:val="-110"/>
        </w:rPr>
        <w:t>）</w:t>
      </w:r>
      <w:r>
        <w:rPr>
          <w:color w:val="231F20"/>
        </w:rPr>
        <w:t>，投保的工程项目及其保险金额在签订协议书时由双方协商确定。</w:t>
      </w:r>
    </w:p>
    <w:p>
      <w:pPr>
        <w:pStyle w:val="BodyText"/>
        <w:spacing w:line="304" w:lineRule="auto" w:before="20"/>
        <w:ind w:right="113" w:firstLine="330"/>
        <w:jc w:val="both"/>
      </w:pPr>
      <w:r>
        <w:rPr>
          <w:color w:val="231F20"/>
        </w:rPr>
        <w:t>（ 2）承包人应以承包人的名义投保施工设备险，投保项目及其保险金额由承包人根据其配备的施工设备状况自行确定，但承包人应充分估计主要施工设备可能发生的重大事故以及自然灾害造成施工设备的损失和损坏对工程的影响。</w:t>
      </w:r>
    </w:p>
    <w:p>
      <w:pPr>
        <w:pStyle w:val="BodyText"/>
        <w:spacing w:before="20"/>
        <w:ind w:left="447"/>
      </w:pPr>
      <w:r>
        <w:rPr>
          <w:color w:val="231F20"/>
        </w:rPr>
        <w:t>（ 3）工程和施工设备的保险期限及其保险责任范围为：</w:t>
      </w:r>
    </w:p>
    <w:p>
      <w:pPr>
        <w:pStyle w:val="BodyText"/>
        <w:spacing w:line="304" w:lineRule="auto" w:before="88"/>
        <w:ind w:firstLine="440"/>
      </w:pPr>
      <w:r>
        <w:rPr>
          <w:color w:val="231F20"/>
        </w:rPr>
        <w:t>①从承包人进点至颁发工程移交证书期间，除保险公司规定的除外责任以外的工程（包括材料和工程设备）和施工设备的损失和损坏。</w:t>
      </w:r>
    </w:p>
    <w:p>
      <w:pPr>
        <w:pStyle w:val="BodyText"/>
        <w:spacing w:before="20"/>
        <w:ind w:left="557"/>
      </w:pPr>
      <w:r>
        <w:rPr>
          <w:color w:val="231F20"/>
        </w:rPr>
        <w:t>②在保修期内，由于保修期以前的原因造成上述工程和施工设备的损失和损坏。</w:t>
      </w:r>
    </w:p>
    <w:p>
      <w:pPr>
        <w:pStyle w:val="BodyText"/>
        <w:ind w:left="557"/>
      </w:pPr>
      <w:r>
        <w:rPr>
          <w:color w:val="231F20"/>
        </w:rPr>
        <w:t>③承包人在履行保修责任的施工中造成上述工程和施工设备的损失和损坏。</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损失和损坏的费用补偿</w:t>
      </w:r>
    </w:p>
    <w:p>
      <w:pPr>
        <w:pStyle w:val="BodyText"/>
        <w:spacing w:line="304" w:lineRule="auto"/>
        <w:ind w:right="110" w:firstLine="330"/>
        <w:jc w:val="both"/>
      </w:pPr>
      <w:r>
        <w:rPr>
          <w:color w:val="231F20"/>
        </w:rPr>
        <w:t>（ 1）自工程开工至完工移交期间，任何未保险的或从保险部门得到的赔偿费尚不能弥补工程损失和修复损坏所需的费用时，应由发包人或承包人根据第 47.1 款或第 47.2 款规定的风险责任承担所需的费用，包括由于修复风险损坏过程中造成的工程损失和损坏所需的全部费用。</w:t>
      </w:r>
    </w:p>
    <w:p>
      <w:pPr>
        <w:pStyle w:val="BodyText"/>
        <w:spacing w:line="304" w:lineRule="auto" w:before="21"/>
        <w:ind w:right="113" w:firstLine="330"/>
        <w:jc w:val="both"/>
      </w:pPr>
      <w:r>
        <w:rPr>
          <w:color w:val="231F20"/>
        </w:rPr>
        <w:t>（ 2）若发生的工程风险包含第 47.1 款和第 47.2 款所述的发包人和承包人的共同风险，则应由监理人与发包人和承包人通过友好协商，按各自的风险责任分担工程的损失和修复损坏所需的全部费用。</w:t>
      </w:r>
    </w:p>
    <w:p>
      <w:pPr>
        <w:pStyle w:val="BodyText"/>
        <w:spacing w:line="304" w:lineRule="auto" w:before="21"/>
        <w:ind w:right="115" w:firstLine="330"/>
        <w:jc w:val="both"/>
      </w:pPr>
      <w:r>
        <w:rPr>
          <w:color w:val="231F20"/>
        </w:rPr>
        <w:t>（ 3）若发生承包人设备（包括其租用的施工设备）的损失或损坏，其所得到的保险金尚不能弥补其损失或损坏的费用时，除第 47.1 款所列的风险外，应由承包人自行承担其所需的全部费用。</w:t>
      </w:r>
    </w:p>
    <w:p>
      <w:pPr>
        <w:pStyle w:val="BodyText"/>
        <w:spacing w:line="304" w:lineRule="auto" w:before="21"/>
        <w:ind w:right="114" w:firstLine="330"/>
        <w:jc w:val="both"/>
      </w:pPr>
      <w:r>
        <w:rPr>
          <w:color w:val="231F20"/>
        </w:rPr>
        <w:t>（ 4）在工程完工移交给发包人后，除了在保修期内发现的由于保修期前承包人原因造成的损失或损坏外，应由发包人承担任何风险造成工程（包括工程设备）的损失和修复损坏所需的</w:t>
      </w:r>
    </w:p>
    <w:p>
      <w:pPr>
        <w:spacing w:after="0" w:line="304" w:lineRule="auto"/>
        <w:jc w:val="both"/>
        <w:sectPr>
          <w:pgSz w:w="11910" w:h="16840"/>
          <w:pgMar w:header="0" w:footer="832" w:top="1580" w:bottom="1020" w:left="1300" w:right="1300"/>
        </w:sectPr>
      </w:pPr>
    </w:p>
    <w:p>
      <w:pPr>
        <w:pStyle w:val="BodyText"/>
        <w:spacing w:before="24"/>
      </w:pPr>
      <w:r>
        <w:rPr>
          <w:color w:val="231F20"/>
        </w:rPr>
        <w:t>全部费用。</w:t>
      </w:r>
    </w:p>
    <w:p>
      <w:pPr>
        <w:pStyle w:val="ListParagraph"/>
        <w:numPr>
          <w:ilvl w:val="0"/>
          <w:numId w:val="7"/>
        </w:numPr>
        <w:tabs>
          <w:tab w:pos="1021" w:val="left" w:leader="none"/>
          <w:tab w:pos="1022" w:val="left" w:leader="none"/>
        </w:tabs>
        <w:spacing w:line="240" w:lineRule="auto" w:before="83"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人员的工伤事故</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人员工伤事故的责任</w:t>
      </w:r>
    </w:p>
    <w:p>
      <w:pPr>
        <w:pStyle w:val="BodyText"/>
        <w:spacing w:line="304" w:lineRule="auto"/>
        <w:ind w:right="73" w:firstLine="330"/>
      </w:pPr>
      <w:r>
        <w:rPr>
          <w:color w:val="231F20"/>
        </w:rPr>
        <w:t>（ </w:t>
      </w:r>
      <w:r>
        <w:rPr>
          <w:color w:val="231F20"/>
          <w:spacing w:val="-15"/>
        </w:rPr>
        <w:t>1）</w:t>
      </w:r>
      <w:r>
        <w:rPr>
          <w:color w:val="231F20"/>
          <w:spacing w:val="-2"/>
        </w:rPr>
        <w:t>承包人应为其执行本合同所雇用的全部人员</w:t>
      </w:r>
      <w:r>
        <w:rPr>
          <w:color w:val="231F20"/>
        </w:rPr>
        <w:t>（包括分包人的人员</w:t>
      </w:r>
      <w:r>
        <w:rPr>
          <w:color w:val="231F20"/>
          <w:spacing w:val="-29"/>
        </w:rPr>
        <w:t>）</w:t>
      </w:r>
      <w:r>
        <w:rPr>
          <w:color w:val="231F20"/>
        </w:rPr>
        <w:t>承担工伤事故责任。承包人可要求其分包人自行承担自己雇用人员的工伤事故责任，但发包人只向承包人追索其工伤事故责任。</w:t>
      </w:r>
    </w:p>
    <w:p>
      <w:pPr>
        <w:pStyle w:val="BodyText"/>
        <w:spacing w:line="304" w:lineRule="auto" w:before="21"/>
        <w:ind w:right="93" w:firstLine="330"/>
      </w:pPr>
      <w:r>
        <w:rPr>
          <w:color w:val="231F20"/>
        </w:rPr>
        <w:t>（ 2）</w:t>
      </w:r>
      <w:r>
        <w:rPr>
          <w:color w:val="231F20"/>
          <w:spacing w:val="-7"/>
        </w:rPr>
        <w:t>发包人应为其现场机构雇用的全部人员</w:t>
      </w:r>
      <w:r>
        <w:rPr>
          <w:color w:val="231F20"/>
          <w:spacing w:val="-6"/>
        </w:rPr>
        <w:t>（包括监理人员）</w:t>
      </w:r>
      <w:r>
        <w:rPr>
          <w:color w:val="231F20"/>
          <w:spacing w:val="-7"/>
        </w:rPr>
        <w:t>承担工伤事故责任，但由于承</w:t>
      </w:r>
      <w:r>
        <w:rPr>
          <w:color w:val="231F20"/>
          <w:spacing w:val="-9"/>
        </w:rPr>
        <w:t>包人过失造成在承包人责任区内工作的发包人的人员伤亡，则应由承包人承担其工伤事故责任。</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人员工伤事故的赔偿</w:t>
      </w:r>
    </w:p>
    <w:p>
      <w:pPr>
        <w:pStyle w:val="BodyText"/>
        <w:spacing w:line="304" w:lineRule="auto"/>
        <w:ind w:right="214" w:firstLine="440"/>
        <w:jc w:val="both"/>
      </w:pPr>
      <w:r>
        <w:rPr>
          <w:color w:val="231F20"/>
        </w:rPr>
        <w:t>发包人和承包人应根据有关法律、法规和规章以及按第 49.1 款规定，对工伤事故造成的伤亡按其各自的责任进行赔偿。其赔偿费用的范围应包括人员伤亡和财产损失的赔偿费、诉讼费和其他有关费用。</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人员工伤事故的保险</w:t>
      </w:r>
    </w:p>
    <w:p>
      <w:pPr>
        <w:pStyle w:val="BodyText"/>
        <w:spacing w:line="304" w:lineRule="auto"/>
        <w:ind w:right="203" w:firstLine="440"/>
      </w:pPr>
      <w:r>
        <w:rPr>
          <w:color w:val="231F20"/>
        </w:rPr>
        <w:t>在合同实施期间，承包人应为其雇用的人员投保人身意外伤害险。承包人可要求分包人投保其自己雇用人员的人身意外伤害险，但此项投保不免除承包人按第 49.2 款规定应负的责任。</w:t>
      </w:r>
    </w:p>
    <w:p>
      <w:pPr>
        <w:pStyle w:val="ListParagraph"/>
        <w:numPr>
          <w:ilvl w:val="0"/>
          <w:numId w:val="7"/>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人身和财产的损失</w:t>
      </w:r>
    </w:p>
    <w:p>
      <w:pPr>
        <w:pStyle w:val="ListParagraph"/>
        <w:numPr>
          <w:ilvl w:val="1"/>
          <w:numId w:val="7"/>
        </w:numPr>
        <w:tabs>
          <w:tab w:pos="1158" w:val="left" w:leader="none"/>
          <w:tab w:pos="1159" w:val="left" w:leader="none"/>
        </w:tabs>
        <w:spacing w:line="240" w:lineRule="auto" w:before="101" w:after="0"/>
        <w:ind w:left="1158" w:right="0" w:hanging="601"/>
        <w:jc w:val="left"/>
        <w:rPr>
          <w:sz w:val="22"/>
        </w:rPr>
      </w:pPr>
      <w:r>
        <w:rPr>
          <w:color w:val="231F20"/>
          <w:sz w:val="22"/>
        </w:rPr>
        <w:t>发包人的责任</w:t>
      </w:r>
    </w:p>
    <w:p>
      <w:pPr>
        <w:pStyle w:val="BodyText"/>
        <w:spacing w:before="88"/>
        <w:ind w:left="557"/>
      </w:pPr>
      <w:r>
        <w:rPr>
          <w:color w:val="231F20"/>
        </w:rPr>
        <w:t>发包人应负责赔偿以下各种情况造成的人身和财产损失：</w:t>
      </w:r>
    </w:p>
    <w:p>
      <w:pPr>
        <w:pStyle w:val="BodyText"/>
        <w:spacing w:before="88"/>
        <w:ind w:left="447"/>
      </w:pPr>
      <w:r>
        <w:rPr>
          <w:color w:val="231F20"/>
        </w:rPr>
        <w:t>（ 1）工程或工程的任何部分对土地的占用所造成的第三者财产损失。</w:t>
      </w:r>
    </w:p>
    <w:p>
      <w:pPr>
        <w:pStyle w:val="BodyText"/>
        <w:spacing w:before="88"/>
        <w:ind w:left="447"/>
      </w:pPr>
      <w:r>
        <w:rPr>
          <w:color w:val="231F20"/>
        </w:rPr>
        <w:t>（ 2）工程施工过程中，承包人按合同要求进行工作所不可避免地造成第三者的财产损失。</w:t>
      </w:r>
    </w:p>
    <w:p>
      <w:pPr>
        <w:pStyle w:val="BodyText"/>
        <w:spacing w:line="304" w:lineRule="auto" w:before="88"/>
        <w:ind w:right="199" w:firstLine="330"/>
      </w:pPr>
      <w:r>
        <w:rPr>
          <w:color w:val="231F20"/>
        </w:rPr>
        <w:t>（ 3）由于发包人责任造成在其管辖区内发包人和承包人以及第三者人员的人身伤害和财产损失。</w:t>
      </w:r>
    </w:p>
    <w:p>
      <w:pPr>
        <w:pStyle w:val="BodyText"/>
        <w:spacing w:before="20"/>
        <w:ind w:left="557"/>
      </w:pPr>
      <w:r>
        <w:rPr>
          <w:color w:val="231F20"/>
        </w:rPr>
        <w:t>上述赔偿费用应包括人身伤害和财产损失的赔偿费、诉讼费和其他有关费用。</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承包人的责任</w:t>
      </w:r>
    </w:p>
    <w:p>
      <w:pPr>
        <w:pStyle w:val="BodyText"/>
        <w:spacing w:line="304" w:lineRule="auto"/>
        <w:ind w:right="93" w:firstLine="440"/>
      </w:pPr>
      <w:r>
        <w:rPr>
          <w:color w:val="231F20"/>
        </w:rPr>
        <w:t>承包人应负责赔偿由于承包人的责任造成在其管辖区内发包人和承包人以及第三者人员的人身伤害和财产损失。</w:t>
      </w:r>
    </w:p>
    <w:p>
      <w:pPr>
        <w:pStyle w:val="BodyText"/>
        <w:spacing w:before="20"/>
        <w:ind w:left="557"/>
      </w:pPr>
      <w:r>
        <w:rPr>
          <w:color w:val="231F20"/>
        </w:rPr>
        <w:t>上述赔偿费用应包括人身伤害和财产损失的赔偿费、诉讼费和其他有关费用。</w:t>
      </w:r>
    </w:p>
    <w:p>
      <w:pPr>
        <w:pStyle w:val="ListParagraph"/>
        <w:numPr>
          <w:ilvl w:val="1"/>
          <w:numId w:val="7"/>
        </w:numPr>
        <w:tabs>
          <w:tab w:pos="1158" w:val="left" w:leader="none"/>
          <w:tab w:pos="1159" w:val="left" w:leader="none"/>
        </w:tabs>
        <w:spacing w:line="240" w:lineRule="auto" w:before="88" w:after="0"/>
        <w:ind w:left="1158" w:right="0" w:hanging="601"/>
        <w:jc w:val="left"/>
        <w:rPr>
          <w:sz w:val="22"/>
        </w:rPr>
      </w:pPr>
      <w:r>
        <w:rPr>
          <w:color w:val="231F20"/>
          <w:sz w:val="22"/>
        </w:rPr>
        <w:t>发包人和承包人的共同责任</w:t>
      </w:r>
    </w:p>
    <w:p>
      <w:pPr>
        <w:pStyle w:val="BodyText"/>
        <w:spacing w:line="304" w:lineRule="auto" w:before="88"/>
        <w:ind w:right="214" w:firstLine="440"/>
        <w:jc w:val="both"/>
      </w:pPr>
      <w:r>
        <w:rPr>
          <w:color w:val="231F20"/>
        </w:rPr>
        <w:t>由于在承包人辖区内工作的发包人人员或非承包人雇用的其他人员的过失造成的人员伤害和财产损失，若其中含有承包人的部分责任时，应由监理人与发包人和承包人共同协商合理分担其赔偿费用。</w:t>
      </w:r>
    </w:p>
    <w:p>
      <w:pPr>
        <w:pStyle w:val="ListParagraph"/>
        <w:numPr>
          <w:ilvl w:val="1"/>
          <w:numId w:val="7"/>
        </w:numPr>
        <w:tabs>
          <w:tab w:pos="1158" w:val="left" w:leader="none"/>
          <w:tab w:pos="1159" w:val="left" w:leader="none"/>
        </w:tabs>
        <w:spacing w:line="240" w:lineRule="auto" w:before="20" w:after="0"/>
        <w:ind w:left="1158" w:right="0" w:hanging="601"/>
        <w:jc w:val="left"/>
        <w:rPr>
          <w:sz w:val="22"/>
        </w:rPr>
      </w:pPr>
      <w:r>
        <w:rPr>
          <w:color w:val="231F20"/>
          <w:sz w:val="22"/>
        </w:rPr>
        <w:t>第三者责任险（包括发包人的财产）</w:t>
      </w:r>
    </w:p>
    <w:p>
      <w:pPr>
        <w:pStyle w:val="BodyText"/>
        <w:ind w:left="557"/>
      </w:pPr>
      <w:r>
        <w:rPr>
          <w:color w:val="231F20"/>
        </w:rPr>
        <w:t>承包人应以承包人和发包人的共同名义投保在工地及其毗邻地带的第三者人员伤害和财产</w:t>
      </w:r>
    </w:p>
    <w:p>
      <w:pPr>
        <w:spacing w:after="0"/>
        <w:sectPr>
          <w:pgSz w:w="11910" w:h="16840"/>
          <w:pgMar w:header="0" w:footer="832" w:top="1580" w:bottom="1020" w:left="1300" w:right="1200"/>
        </w:sectPr>
      </w:pPr>
    </w:p>
    <w:p>
      <w:pPr>
        <w:pStyle w:val="BodyText"/>
        <w:spacing w:line="304" w:lineRule="auto" w:before="24"/>
        <w:ind w:right="213"/>
        <w:jc w:val="both"/>
      </w:pPr>
      <w:r>
        <w:rPr>
          <w:color w:val="231F20"/>
        </w:rPr>
        <w:t>损失的第三者责任险，其保险金额由双方协商确定。此项投保不免除承包人和发包人各自应负的在其管辖区内及其毗邻地带发生的第三者人员伤害和财产损失的赔偿责任，其赔偿费用应包括赔偿费、诉讼费和其他有关费用。</w:t>
      </w:r>
    </w:p>
    <w:p>
      <w:pPr>
        <w:pStyle w:val="ListParagraph"/>
        <w:numPr>
          <w:ilvl w:val="0"/>
          <w:numId w:val="7"/>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对各项保险的要求</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保险凭证和条件</w:t>
      </w:r>
    </w:p>
    <w:p>
      <w:pPr>
        <w:pStyle w:val="BodyText"/>
        <w:spacing w:line="304" w:lineRule="auto"/>
        <w:ind w:right="199" w:firstLine="440"/>
      </w:pPr>
      <w:r>
        <w:rPr>
          <w:color w:val="231F20"/>
        </w:rPr>
        <w:t>承包人应在接到开工通知后的 84 天内向发包人提交按合同规定的各项保险单的副本，并通知监理人。保险单的条件应符合本合同的规定。</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保险单条件的变动</w:t>
      </w:r>
    </w:p>
    <w:p>
      <w:pPr>
        <w:pStyle w:val="BodyText"/>
        <w:ind w:left="557"/>
      </w:pPr>
      <w:r>
        <w:rPr>
          <w:color w:val="231F20"/>
        </w:rPr>
        <w:t>承包人需要变动保险单的条件时，应事先征得发包人同意，并通知监理人。</w:t>
      </w:r>
    </w:p>
    <w:p>
      <w:pPr>
        <w:pStyle w:val="ListParagraph"/>
        <w:numPr>
          <w:ilvl w:val="1"/>
          <w:numId w:val="7"/>
        </w:numPr>
        <w:tabs>
          <w:tab w:pos="1158" w:val="left" w:leader="none"/>
          <w:tab w:pos="1159" w:val="left" w:leader="none"/>
        </w:tabs>
        <w:spacing w:line="240" w:lineRule="auto" w:before="89" w:after="0"/>
        <w:ind w:left="1158" w:right="0" w:hanging="601"/>
        <w:jc w:val="left"/>
        <w:rPr>
          <w:sz w:val="22"/>
        </w:rPr>
      </w:pPr>
      <w:r>
        <w:rPr>
          <w:color w:val="231F20"/>
          <w:sz w:val="22"/>
        </w:rPr>
        <w:t>未按规定投保的补救</w:t>
      </w:r>
    </w:p>
    <w:p>
      <w:pPr>
        <w:pStyle w:val="BodyText"/>
        <w:spacing w:line="304" w:lineRule="auto"/>
        <w:ind w:right="199" w:firstLine="440"/>
      </w:pPr>
      <w:r>
        <w:rPr>
          <w:color w:val="231F20"/>
        </w:rPr>
        <w:t>若承包人在接到开工通知后的 84 天内未按合同规定的条件办理保险，则发包人可以代为办理，所需费用由承包人承担。</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遵守保险单规定的条件</w:t>
      </w:r>
    </w:p>
    <w:p>
      <w:pPr>
        <w:pStyle w:val="BodyText"/>
        <w:spacing w:line="304" w:lineRule="auto"/>
        <w:ind w:right="93" w:firstLine="440"/>
      </w:pPr>
      <w:r>
        <w:rPr>
          <w:color w:val="231F20"/>
        </w:rPr>
        <w:t>发包人和承包人均应遵守保险单规定的条件，任何一方违反保险单规定的条件时，应赔偿另一方由此造成的损失。</w:t>
      </w:r>
    </w:p>
    <w:p>
      <w:pPr>
        <w:pStyle w:val="Heading2"/>
      </w:pPr>
      <w:r>
        <w:rPr>
          <w:color w:val="231F20"/>
        </w:rPr>
        <w:t>二十一、完工与保修</w:t>
      </w:r>
    </w:p>
    <w:p>
      <w:pPr>
        <w:pStyle w:val="ListParagraph"/>
        <w:numPr>
          <w:ilvl w:val="0"/>
          <w:numId w:val="7"/>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完工验收</w:t>
      </w:r>
    </w:p>
    <w:p>
      <w:pPr>
        <w:pStyle w:val="ListParagraph"/>
        <w:numPr>
          <w:ilvl w:val="1"/>
          <w:numId w:val="7"/>
        </w:numPr>
        <w:tabs>
          <w:tab w:pos="1158" w:val="left" w:leader="none"/>
          <w:tab w:pos="1159" w:val="left" w:leader="none"/>
        </w:tabs>
        <w:spacing w:line="240" w:lineRule="auto" w:before="102" w:after="0"/>
        <w:ind w:left="1158" w:right="0" w:hanging="601"/>
        <w:jc w:val="left"/>
        <w:rPr>
          <w:sz w:val="22"/>
        </w:rPr>
      </w:pPr>
      <w:r>
        <w:rPr>
          <w:color w:val="231F20"/>
          <w:sz w:val="22"/>
        </w:rPr>
        <w:t>完工验收申请报告</w:t>
      </w:r>
    </w:p>
    <w:p>
      <w:pPr>
        <w:pStyle w:val="BodyText"/>
        <w:ind w:left="557"/>
      </w:pPr>
      <w:r>
        <w:rPr>
          <w:color w:val="231F20"/>
          <w:spacing w:val="-11"/>
        </w:rPr>
        <w:t>当工程具备以下条件时，承包人即可向发包人和监理人提交完工验收申请报告</w:t>
      </w:r>
      <w:r>
        <w:rPr>
          <w:color w:val="231F20"/>
          <w:spacing w:val="-9"/>
        </w:rPr>
        <w:t>（附完工资料</w:t>
      </w:r>
      <w:r>
        <w:rPr>
          <w:color w:val="231F20"/>
          <w:spacing w:val="-92"/>
        </w:rPr>
        <w:t>）</w:t>
      </w:r>
      <w:r>
        <w:rPr>
          <w:color w:val="231F20"/>
        </w:rPr>
        <w:t>。</w:t>
      </w:r>
    </w:p>
    <w:p>
      <w:pPr>
        <w:pStyle w:val="BodyText"/>
        <w:spacing w:line="304" w:lineRule="auto"/>
        <w:ind w:right="199" w:firstLine="330"/>
      </w:pPr>
      <w:r>
        <w:rPr>
          <w:color w:val="231F20"/>
        </w:rPr>
        <w:t>（ 1）已完成了合同范围内的全部单位工程以及有关的工作项目，但经监理人同意列入保修期内完成的尾工项目除外。</w:t>
      </w:r>
    </w:p>
    <w:p>
      <w:pPr>
        <w:pStyle w:val="BodyText"/>
        <w:spacing w:before="21"/>
        <w:ind w:left="447"/>
      </w:pPr>
      <w:r>
        <w:rPr>
          <w:color w:val="231F20"/>
        </w:rPr>
        <w:t>（ 2）已按第 52.2 款的规定备齐了符合合同要求的完工资料。</w:t>
      </w:r>
    </w:p>
    <w:p>
      <w:pPr>
        <w:pStyle w:val="BodyText"/>
        <w:spacing w:line="304" w:lineRule="auto"/>
        <w:ind w:right="199" w:firstLine="330"/>
      </w:pPr>
      <w:r>
        <w:rPr>
          <w:color w:val="231F20"/>
        </w:rPr>
        <w:t>（ 3）已按监理人的要求编制了在保修期内实施的尾工工程项目清单和未修补的缺陷项目清单以及相应的施工措施计划。</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完工资料</w:t>
      </w:r>
    </w:p>
    <w:p>
      <w:pPr>
        <w:pStyle w:val="BodyText"/>
        <w:ind w:left="557"/>
      </w:pPr>
      <w:r>
        <w:rPr>
          <w:color w:val="231F20"/>
        </w:rPr>
        <w:t>完工资料（一式 6 份）应包括：</w:t>
      </w:r>
    </w:p>
    <w:p>
      <w:pPr>
        <w:pStyle w:val="BodyText"/>
        <w:ind w:left="447"/>
      </w:pPr>
      <w:r>
        <w:rPr>
          <w:color w:val="231F20"/>
        </w:rPr>
        <w:t>（ 1）工程实施概况和大事记。</w:t>
      </w:r>
    </w:p>
    <w:p>
      <w:pPr>
        <w:pStyle w:val="BodyText"/>
        <w:ind w:left="447"/>
      </w:pPr>
      <w:r>
        <w:rPr>
          <w:color w:val="231F20"/>
        </w:rPr>
        <w:t>（ 2）已完工程移交清单（包括工程设备</w:t>
      </w:r>
      <w:r>
        <w:rPr>
          <w:color w:val="231F20"/>
          <w:spacing w:val="-83"/>
        </w:rPr>
        <w:t>）</w:t>
      </w:r>
      <w:r>
        <w:rPr>
          <w:color w:val="231F20"/>
        </w:rPr>
        <w:t>。</w:t>
      </w:r>
    </w:p>
    <w:p>
      <w:pPr>
        <w:pStyle w:val="BodyText"/>
        <w:ind w:left="447"/>
      </w:pPr>
      <w:r>
        <w:rPr>
          <w:color w:val="231F20"/>
        </w:rPr>
        <w:t>（ 3）永久工程竣工图。</w:t>
      </w:r>
    </w:p>
    <w:p>
      <w:pPr>
        <w:pStyle w:val="BodyText"/>
        <w:ind w:left="447"/>
      </w:pPr>
      <w:r>
        <w:rPr>
          <w:color w:val="231F20"/>
        </w:rPr>
        <w:t>（ 4）列入保修期继续施工的尾工工程项目清单。</w:t>
      </w:r>
    </w:p>
    <w:p>
      <w:pPr>
        <w:pStyle w:val="BodyText"/>
        <w:ind w:left="447"/>
      </w:pPr>
      <w:r>
        <w:rPr>
          <w:color w:val="231F20"/>
        </w:rPr>
        <w:t>（ 5）未完成的缺陷修复清单。</w:t>
      </w:r>
    </w:p>
    <w:p>
      <w:pPr>
        <w:pStyle w:val="BodyText"/>
        <w:ind w:left="447"/>
      </w:pPr>
      <w:r>
        <w:rPr>
          <w:color w:val="231F20"/>
        </w:rPr>
        <w:t>（ 6）施工期的观测资料。</w:t>
      </w:r>
    </w:p>
    <w:p>
      <w:pPr>
        <w:spacing w:after="0"/>
        <w:sectPr>
          <w:pgSz w:w="11910" w:h="16840"/>
          <w:pgMar w:header="0" w:footer="832" w:top="1580" w:bottom="1020" w:left="1300" w:right="1200"/>
        </w:sectPr>
      </w:pPr>
    </w:p>
    <w:p>
      <w:pPr>
        <w:pStyle w:val="BodyText"/>
        <w:spacing w:line="304" w:lineRule="auto" w:before="24"/>
        <w:ind w:right="215" w:firstLine="330"/>
        <w:jc w:val="both"/>
      </w:pPr>
      <w:r>
        <w:rPr>
          <w:color w:val="231F20"/>
        </w:rPr>
        <w:t>（ 7）监理人指示应列入完工报告的各类施工文件、施工原始记录（含图片和录像资料）以及其他应补充的完工资料。</w:t>
      </w:r>
    </w:p>
    <w:p>
      <w:pPr>
        <w:pStyle w:val="ListParagraph"/>
        <w:numPr>
          <w:ilvl w:val="1"/>
          <w:numId w:val="7"/>
        </w:numPr>
        <w:tabs>
          <w:tab w:pos="1158" w:val="left" w:leader="none"/>
          <w:tab w:pos="1159" w:val="left" w:leader="none"/>
        </w:tabs>
        <w:spacing w:line="240" w:lineRule="auto" w:before="21" w:after="0"/>
        <w:ind w:left="1158" w:right="0" w:hanging="601"/>
        <w:jc w:val="left"/>
        <w:rPr>
          <w:sz w:val="22"/>
        </w:rPr>
      </w:pPr>
      <w:r>
        <w:rPr>
          <w:color w:val="231F20"/>
          <w:sz w:val="22"/>
        </w:rPr>
        <w:t>工程完工的验收</w:t>
      </w:r>
    </w:p>
    <w:p>
      <w:pPr>
        <w:pStyle w:val="BodyText"/>
        <w:spacing w:line="304" w:lineRule="auto"/>
        <w:ind w:right="203" w:firstLine="440"/>
      </w:pPr>
      <w:r>
        <w:rPr>
          <w:color w:val="231F20"/>
        </w:rPr>
        <w:t>监理人收到承包人按第 52.1 款规定提交的完工验收申请报告后，应审核其报告的各项内容，并按以下不同情况进行处理。</w:t>
      </w:r>
    </w:p>
    <w:p>
      <w:pPr>
        <w:pStyle w:val="BodyText"/>
        <w:spacing w:line="304" w:lineRule="auto" w:before="20"/>
        <w:ind w:right="212" w:firstLine="330"/>
        <w:jc w:val="both"/>
      </w:pPr>
      <w:r>
        <w:rPr>
          <w:color w:val="231F20"/>
        </w:rPr>
        <w:t>（ 1）监理人审核后发现工程尚有重大缺陷时，可拒绝或推迟进行完工验收，但监理人应在收到完工验收申请报告后的 28 天内通知承包人，指出完工验收前应完成的工程缺陷修复和其他的工作内容和要求，并将完工验收申请报告同时退还给承包人。承包人应在具备完工验收条件后重新申报。</w:t>
      </w:r>
    </w:p>
    <w:p>
      <w:pPr>
        <w:pStyle w:val="BodyText"/>
        <w:spacing w:line="304" w:lineRule="auto" w:before="20"/>
        <w:ind w:right="214" w:firstLine="330"/>
        <w:jc w:val="both"/>
      </w:pPr>
      <w:r>
        <w:rPr>
          <w:color w:val="231F20"/>
        </w:rPr>
        <w:t>（ 2）监理人审核后对上述报告及报告中所列的工作项目和工作内容持有异议时，应在收到报告后的 28 天内将意见通知承包人，承包人应在收到上述通知后的 28 天内重新提交修改后的完工验收申请报告，直至监理人同意为止。</w:t>
      </w:r>
    </w:p>
    <w:p>
      <w:pPr>
        <w:pStyle w:val="BodyText"/>
        <w:spacing w:line="304" w:lineRule="auto" w:before="20"/>
        <w:ind w:right="92" w:firstLine="330"/>
      </w:pPr>
      <w:r>
        <w:rPr>
          <w:color w:val="231F20"/>
        </w:rPr>
        <w:t>（ 3）监理人审核后认为工程已具备完工验收条件，应在收到完工验收申请报告后的 28 天内提请发包人进行工程验收。发包人在收到完工验收申请报告后的 56 天内签署工程移交证书， 颁发给承包人。</w:t>
      </w:r>
    </w:p>
    <w:p>
      <w:pPr>
        <w:pStyle w:val="BodyText"/>
        <w:spacing w:line="304" w:lineRule="auto" w:before="20"/>
        <w:ind w:right="215" w:firstLine="330"/>
        <w:jc w:val="both"/>
      </w:pPr>
      <w:r>
        <w:rPr>
          <w:color w:val="231F20"/>
        </w:rPr>
        <w:t>（ 4）在签署移交证书前，应由监理人与发包人和承包人协商核定工程的实际完工日期，并在移交证书中写明。</w:t>
      </w:r>
    </w:p>
    <w:p>
      <w:pPr>
        <w:pStyle w:val="ListParagraph"/>
        <w:numPr>
          <w:ilvl w:val="1"/>
          <w:numId w:val="7"/>
        </w:numPr>
        <w:tabs>
          <w:tab w:pos="1158" w:val="left" w:leader="none"/>
          <w:tab w:pos="1159" w:val="left" w:leader="none"/>
        </w:tabs>
        <w:spacing w:line="240" w:lineRule="auto" w:before="20" w:after="0"/>
        <w:ind w:left="1158" w:right="0" w:hanging="601"/>
        <w:jc w:val="left"/>
        <w:rPr>
          <w:sz w:val="22"/>
        </w:rPr>
      </w:pPr>
      <w:r>
        <w:rPr>
          <w:color w:val="231F20"/>
          <w:sz w:val="22"/>
        </w:rPr>
        <w:t>单位工程验收</w:t>
      </w:r>
    </w:p>
    <w:p>
      <w:pPr>
        <w:pStyle w:val="BodyText"/>
        <w:spacing w:before="88"/>
        <w:ind w:left="557"/>
      </w:pPr>
      <w:r>
        <w:rPr>
          <w:color w:val="231F20"/>
        </w:rPr>
        <w:t>在单位工程完工后，经发包人同意，承包人可申请对本合同专用合同条款第 1.3 款所列的</w:t>
      </w:r>
    </w:p>
    <w:p>
      <w:pPr>
        <w:pStyle w:val="BodyText"/>
        <w:spacing w:before="88"/>
      </w:pPr>
      <w:r>
        <w:rPr>
          <w:color w:val="231F20"/>
        </w:rPr>
        <w:t>单位工程项目中某些需要进行验收的项目进行验收，其验收的内容和程序应按第 52.1 款至第</w:t>
      </w:r>
    </w:p>
    <w:p>
      <w:pPr>
        <w:pStyle w:val="BodyText"/>
        <w:spacing w:line="304" w:lineRule="auto" w:before="88"/>
        <w:ind w:right="93"/>
      </w:pPr>
      <w:r>
        <w:rPr>
          <w:color w:val="231F20"/>
        </w:rPr>
        <w:t>52.3 款的规定进行。单位工程的验收成果和结论可作为本合同工程完工验收申请报告的附件， 验收后应由发包人或授权监理人按第 52.3 款的规定签发该单位工程的移交证书。</w:t>
      </w:r>
    </w:p>
    <w:p>
      <w:pPr>
        <w:pStyle w:val="BodyText"/>
        <w:tabs>
          <w:tab w:pos="1158" w:val="left" w:leader="none"/>
        </w:tabs>
        <w:spacing w:before="20"/>
        <w:ind w:left="557"/>
      </w:pPr>
      <w:r>
        <w:rPr>
          <w:color w:val="231F20"/>
        </w:rPr>
        <w:t>52.5</w:t>
        <w:tab/>
        <w:t>部分工程验收</w:t>
      </w:r>
    </w:p>
    <w:p>
      <w:pPr>
        <w:pStyle w:val="BodyText"/>
        <w:spacing w:line="304" w:lineRule="auto"/>
        <w:ind w:right="93" w:firstLine="440"/>
      </w:pPr>
      <w:r>
        <w:rPr>
          <w:color w:val="231F20"/>
        </w:rPr>
        <w:t>在全部工程完工验收前，发包人根据合同进度计划的安排，需要提前使用尚未全部完工的某项工程时，可以对已完成的部分工程进行验收，其验收的内容和程序可参照第 52.1 款至第</w:t>
      </w:r>
    </w:p>
    <w:p>
      <w:pPr>
        <w:pStyle w:val="BodyText"/>
        <w:spacing w:line="304" w:lineRule="auto" w:before="21"/>
        <w:ind w:right="93"/>
      </w:pPr>
      <w:r>
        <w:rPr>
          <w:color w:val="231F20"/>
          <w:spacing w:val="-4"/>
        </w:rPr>
        <w:t>52.3</w:t>
      </w:r>
      <w:r>
        <w:rPr>
          <w:color w:val="231F20"/>
          <w:spacing w:val="-5"/>
        </w:rPr>
        <w:t> 款的规定进行，并应由发包人或授权监理人签发临时移交证书，其完工验收申请报告应说明已验收的该部分工程的项目或部位，还需列出应由承包人负责修复的未完成缺陷修复项目清单。</w:t>
      </w:r>
    </w:p>
    <w:p>
      <w:pPr>
        <w:pStyle w:val="ListParagraph"/>
        <w:numPr>
          <w:ilvl w:val="1"/>
          <w:numId w:val="8"/>
        </w:numPr>
        <w:tabs>
          <w:tab w:pos="1158" w:val="left" w:leader="none"/>
          <w:tab w:pos="1159" w:val="left" w:leader="none"/>
        </w:tabs>
        <w:spacing w:line="240" w:lineRule="auto" w:before="21" w:after="0"/>
        <w:ind w:left="1158" w:right="0" w:hanging="601"/>
        <w:jc w:val="left"/>
        <w:rPr>
          <w:sz w:val="22"/>
        </w:rPr>
      </w:pPr>
      <w:r>
        <w:rPr>
          <w:color w:val="231F20"/>
          <w:sz w:val="22"/>
        </w:rPr>
        <w:t>施工期运行</w:t>
      </w:r>
    </w:p>
    <w:p>
      <w:pPr>
        <w:pStyle w:val="BodyText"/>
        <w:spacing w:line="304" w:lineRule="auto"/>
        <w:ind w:right="211" w:firstLine="330"/>
        <w:jc w:val="both"/>
      </w:pPr>
      <w:r>
        <w:rPr>
          <w:color w:val="231F20"/>
        </w:rPr>
        <w:t>（ 1）按第 52.4 款、第 52.5 款进行验收的单位工程或部分工程，发包人需要在施工期投入运行时，应对其局部建筑物承受施工运行荷载的安全性进行复核，在证明其能确保安全时才能投入施工期运行。</w:t>
      </w:r>
    </w:p>
    <w:p>
      <w:pPr>
        <w:pStyle w:val="BodyText"/>
        <w:spacing w:before="20"/>
        <w:ind w:left="447"/>
      </w:pPr>
      <w:r>
        <w:rPr>
          <w:color w:val="231F20"/>
        </w:rPr>
        <w:t>（ 2）在施工期运行中新发现的工程缺陷和损坏，应按第 53.2 款（ 2）项的规定办理。</w:t>
      </w:r>
    </w:p>
    <w:p>
      <w:pPr>
        <w:pStyle w:val="BodyText"/>
        <w:spacing w:before="88"/>
        <w:ind w:left="447"/>
      </w:pPr>
      <w:r>
        <w:rPr>
          <w:color w:val="231F20"/>
        </w:rPr>
        <w:t>（ 3）因施工期运行增加了承包人修复缺陷和损坏工作的困难而导致费用增加时，应由监理</w:t>
      </w:r>
    </w:p>
    <w:p>
      <w:pPr>
        <w:spacing w:after="0"/>
        <w:sectPr>
          <w:pgSz w:w="11910" w:h="16840"/>
          <w:pgMar w:header="0" w:footer="832" w:top="1580" w:bottom="1020" w:left="1300" w:right="1200"/>
        </w:sectPr>
      </w:pPr>
    </w:p>
    <w:p>
      <w:pPr>
        <w:pStyle w:val="BodyText"/>
        <w:spacing w:before="24"/>
      </w:pPr>
      <w:r>
        <w:rPr>
          <w:color w:val="231F20"/>
        </w:rPr>
        <w:t>人与承包人和发包人协商确定需由发包人合理分担的费用。</w:t>
      </w:r>
    </w:p>
    <w:p>
      <w:pPr>
        <w:pStyle w:val="ListParagraph"/>
        <w:numPr>
          <w:ilvl w:val="1"/>
          <w:numId w:val="8"/>
        </w:numPr>
        <w:tabs>
          <w:tab w:pos="1158" w:val="left" w:leader="none"/>
          <w:tab w:pos="1159" w:val="left" w:leader="none"/>
        </w:tabs>
        <w:spacing w:line="240" w:lineRule="auto" w:before="89" w:after="0"/>
        <w:ind w:left="1158" w:right="0" w:hanging="601"/>
        <w:jc w:val="left"/>
        <w:rPr>
          <w:sz w:val="22"/>
        </w:rPr>
      </w:pPr>
      <w:r>
        <w:rPr>
          <w:color w:val="231F20"/>
          <w:sz w:val="22"/>
        </w:rPr>
        <w:t>发包人不及时验收</w:t>
      </w:r>
    </w:p>
    <w:p>
      <w:pPr>
        <w:pStyle w:val="BodyText"/>
        <w:spacing w:line="304" w:lineRule="auto"/>
        <w:ind w:right="214" w:firstLine="330"/>
        <w:jc w:val="both"/>
      </w:pPr>
      <w:r>
        <w:rPr>
          <w:color w:val="231F20"/>
        </w:rPr>
        <w:t>（ 1）若监理人确认承包人已完成或基本完成合同规定的工程，并具备了完工验收条件，但由于非承包人原因使完工验收不能进行时，应由发包人或授权监理人进行初步验收，并签发临时移交证书。但承包人仍应执行监理人在此后进行正式完工验收所发出的指示，由此增加的费用由发包人承担。当正式完工验收发现工程未符合合同要求时，承包人应有责任按监理人指示完成其缺陷修复工作，并承担缺陷修复的费用。</w:t>
      </w:r>
    </w:p>
    <w:p>
      <w:pPr>
        <w:pStyle w:val="BodyText"/>
        <w:spacing w:line="304" w:lineRule="auto" w:before="21"/>
        <w:ind w:right="214" w:firstLine="330"/>
        <w:jc w:val="both"/>
      </w:pPr>
      <w:r>
        <w:rPr>
          <w:color w:val="231F20"/>
        </w:rPr>
        <w:t>（ 2）若发包人或监理人在收到承包人的完工申请报告后不及时进行验收，或在验收后不颁发工程移交证书</w:t>
      </w:r>
      <w:r>
        <w:rPr>
          <w:color w:val="231F20"/>
          <w:spacing w:val="0"/>
        </w:rPr>
        <w:t>（即不接收工程</w:t>
      </w:r>
      <w:r>
        <w:rPr>
          <w:color w:val="231F20"/>
          <w:spacing w:val="-110"/>
        </w:rPr>
        <w:t>）</w:t>
      </w:r>
      <w:r>
        <w:rPr>
          <w:color w:val="231F20"/>
        </w:rPr>
        <w:t>，则发包人应从承包人发出完工申请报告 56 天后的次日起承担工程保管费用。</w:t>
      </w:r>
    </w:p>
    <w:p>
      <w:pPr>
        <w:pStyle w:val="ListParagraph"/>
        <w:numPr>
          <w:ilvl w:val="0"/>
          <w:numId w:val="8"/>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工程保修</w:t>
      </w:r>
    </w:p>
    <w:p>
      <w:pPr>
        <w:pStyle w:val="ListParagraph"/>
        <w:numPr>
          <w:ilvl w:val="1"/>
          <w:numId w:val="9"/>
        </w:numPr>
        <w:tabs>
          <w:tab w:pos="1158" w:val="left" w:leader="none"/>
          <w:tab w:pos="1159" w:val="left" w:leader="none"/>
        </w:tabs>
        <w:spacing w:line="240" w:lineRule="auto" w:before="102" w:after="0"/>
        <w:ind w:left="1158" w:right="0" w:hanging="601"/>
        <w:jc w:val="left"/>
        <w:rPr>
          <w:sz w:val="22"/>
        </w:rPr>
      </w:pPr>
      <w:r>
        <w:rPr>
          <w:color w:val="231F20"/>
          <w:sz w:val="22"/>
        </w:rPr>
        <w:t>保修期</w:t>
      </w:r>
    </w:p>
    <w:p>
      <w:pPr>
        <w:pStyle w:val="BodyText"/>
        <w:spacing w:line="304" w:lineRule="auto"/>
        <w:ind w:right="209" w:firstLine="440"/>
        <w:jc w:val="both"/>
      </w:pPr>
      <w:r>
        <w:rPr>
          <w:color w:val="231F20"/>
        </w:rPr>
        <w:t>保修期自工程移交证书中写明的全部工程完工日开始算起，保修期限在专用合同条款中规定。在全部工程完工验收前，已经发包人提前验收的单位工程或部分工程，若未投入正常使用，其保修期亦按全部工程的完工日开始算起。</w:t>
      </w:r>
    </w:p>
    <w:p>
      <w:pPr>
        <w:pStyle w:val="ListParagraph"/>
        <w:numPr>
          <w:ilvl w:val="1"/>
          <w:numId w:val="9"/>
        </w:numPr>
        <w:tabs>
          <w:tab w:pos="1158" w:val="left" w:leader="none"/>
          <w:tab w:pos="1159" w:val="left" w:leader="none"/>
        </w:tabs>
        <w:spacing w:line="240" w:lineRule="auto" w:before="21" w:after="0"/>
        <w:ind w:left="1158" w:right="0" w:hanging="601"/>
        <w:jc w:val="left"/>
        <w:rPr>
          <w:sz w:val="22"/>
        </w:rPr>
      </w:pPr>
      <w:r>
        <w:rPr>
          <w:color w:val="231F20"/>
          <w:sz w:val="22"/>
        </w:rPr>
        <w:t>保修责任</w:t>
      </w:r>
    </w:p>
    <w:p>
      <w:pPr>
        <w:pStyle w:val="BodyText"/>
        <w:spacing w:line="304" w:lineRule="auto"/>
        <w:ind w:right="93" w:firstLine="330"/>
      </w:pPr>
      <w:r>
        <w:rPr>
          <w:color w:val="231F20"/>
        </w:rPr>
        <w:t>（ 1）保修期内，承包人应负责未移交的工程和工程设备的全部日常维护和缺陷修复工作， 对已移交发包人使用的工程和工程设备，则应由发包人负责日常维护工作，但承包人应按移交证书中所列的缺陷修复清单进行修复，直至经监理人检验合格为止。</w:t>
      </w:r>
    </w:p>
    <w:p>
      <w:pPr>
        <w:pStyle w:val="BodyText"/>
        <w:spacing w:line="304" w:lineRule="auto" w:before="21"/>
        <w:ind w:right="209" w:firstLine="330"/>
        <w:jc w:val="both"/>
      </w:pPr>
      <w:r>
        <w:rPr>
          <w:color w:val="231F20"/>
        </w:rPr>
        <w:t>（ 2）发包人在保修期内使用工程和工程设备过程中，发现新的缺陷和损坏或原修复的缺陷部位或部件又遭损坏，则承包人应按监理人的指示负责修复，直至经监理人检验合格为止。监理人应会同发包人和承包人共同进行查验，若经查验确属由于承包人施工中隐存的或其他由于承包人责任造成的缺陷或损坏，应由承包人承担修复费用；若经查验确属发包人使用不当或其他由于发包人责任造成的缺陷或损坏，则应由发包人承担修复费用。</w:t>
      </w:r>
    </w:p>
    <w:p>
      <w:pPr>
        <w:pStyle w:val="ListParagraph"/>
        <w:numPr>
          <w:ilvl w:val="1"/>
          <w:numId w:val="9"/>
        </w:numPr>
        <w:tabs>
          <w:tab w:pos="1158" w:val="left" w:leader="none"/>
          <w:tab w:pos="1159" w:val="left" w:leader="none"/>
        </w:tabs>
        <w:spacing w:line="240" w:lineRule="auto" w:before="21" w:after="0"/>
        <w:ind w:left="1158" w:right="0" w:hanging="601"/>
        <w:jc w:val="left"/>
        <w:rPr>
          <w:sz w:val="22"/>
        </w:rPr>
      </w:pPr>
      <w:r>
        <w:rPr>
          <w:color w:val="231F20"/>
          <w:sz w:val="22"/>
        </w:rPr>
        <w:t>保修责任终止证书</w:t>
      </w:r>
    </w:p>
    <w:p>
      <w:pPr>
        <w:pStyle w:val="BodyText"/>
        <w:spacing w:line="304" w:lineRule="auto"/>
        <w:ind w:right="210" w:firstLine="440"/>
        <w:jc w:val="both"/>
      </w:pPr>
      <w:r>
        <w:rPr>
          <w:color w:val="231F20"/>
        </w:rPr>
        <w:t>在整个工程保修期满后的 28 天内，由发包人或授权监理人签署和颁发保修责任终止证书给承包人。若保修期满后还有缺陷未修补，则需待承包人按监理人的要求完成缺陷修复工作后，再发保修责任终止证书。尽管颁发了保修责任终止证书，发包人和承包人均仍应对保修责任终止证书颁发前尚未履行的义务和责任负责。</w:t>
      </w:r>
    </w:p>
    <w:p>
      <w:pPr>
        <w:pStyle w:val="ListParagraph"/>
        <w:numPr>
          <w:ilvl w:val="0"/>
          <w:numId w:val="9"/>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完工清场及撤离</w:t>
      </w:r>
    </w:p>
    <w:p>
      <w:pPr>
        <w:pStyle w:val="ListParagraph"/>
        <w:numPr>
          <w:ilvl w:val="1"/>
          <w:numId w:val="9"/>
        </w:numPr>
        <w:tabs>
          <w:tab w:pos="1158" w:val="left" w:leader="none"/>
          <w:tab w:pos="1159" w:val="left" w:leader="none"/>
        </w:tabs>
        <w:spacing w:line="240" w:lineRule="auto" w:before="102" w:after="0"/>
        <w:ind w:left="1158" w:right="0" w:hanging="601"/>
        <w:jc w:val="left"/>
        <w:rPr>
          <w:sz w:val="22"/>
        </w:rPr>
      </w:pPr>
      <w:r>
        <w:rPr>
          <w:color w:val="231F20"/>
          <w:sz w:val="22"/>
        </w:rPr>
        <w:t>完工清场</w:t>
      </w:r>
    </w:p>
    <w:p>
      <w:pPr>
        <w:pStyle w:val="BodyText"/>
        <w:spacing w:line="304" w:lineRule="auto"/>
        <w:ind w:right="199" w:firstLine="440"/>
      </w:pPr>
      <w:r>
        <w:rPr>
          <w:color w:val="231F20"/>
          <w:spacing w:val="2"/>
        </w:rPr>
        <w:t>工程移交证书颁发前</w:t>
      </w:r>
      <w:r>
        <w:rPr>
          <w:color w:val="231F20"/>
          <w:spacing w:val="3"/>
        </w:rPr>
        <w:t>（</w:t>
      </w:r>
      <w:r>
        <w:rPr>
          <w:color w:val="231F20"/>
        </w:rPr>
        <w:t>经发包人同意，可在保修期满前</w:t>
      </w:r>
      <w:r>
        <w:rPr>
          <w:color w:val="231F20"/>
          <w:spacing w:val="-110"/>
        </w:rPr>
        <w:t>）</w:t>
      </w:r>
      <w:r>
        <w:rPr>
          <w:color w:val="231F20"/>
          <w:spacing w:val="3"/>
        </w:rPr>
        <w:t>，承包人应按以下工作内容对工</w:t>
      </w:r>
      <w:r>
        <w:rPr>
          <w:color w:val="231F20"/>
        </w:rPr>
        <w:t>地进行彻底清理，并需经监理人检验合格为止。</w:t>
      </w:r>
    </w:p>
    <w:p>
      <w:pPr>
        <w:spacing w:after="0" w:line="304" w:lineRule="auto"/>
        <w:sectPr>
          <w:footerReference w:type="even" r:id="rId19"/>
          <w:footerReference w:type="default" r:id="rId20"/>
          <w:pgSz w:w="11910" w:h="16840"/>
          <w:pgMar w:footer="832" w:header="0" w:top="1580" w:bottom="1020" w:left="1300" w:right="1200"/>
        </w:sectPr>
      </w:pPr>
    </w:p>
    <w:p>
      <w:pPr>
        <w:pStyle w:val="BodyText"/>
        <w:spacing w:before="24"/>
        <w:ind w:left="447"/>
      </w:pPr>
      <w:r>
        <w:rPr>
          <w:color w:val="231F20"/>
        </w:rPr>
        <w:t>（ 1）工地范围内残留的垃圾已全部焚毁、掩埋或清除出场。</w:t>
      </w:r>
    </w:p>
    <w:p>
      <w:pPr>
        <w:pStyle w:val="BodyText"/>
        <w:ind w:left="447"/>
      </w:pPr>
      <w:r>
        <w:rPr>
          <w:color w:val="231F20"/>
        </w:rPr>
        <w:t>（ 2）临时工程已按合同规定拆除，场地已按合同要求清理和平整。</w:t>
      </w:r>
    </w:p>
    <w:p>
      <w:pPr>
        <w:pStyle w:val="BodyText"/>
        <w:spacing w:line="304" w:lineRule="auto"/>
        <w:ind w:right="215" w:firstLine="330"/>
        <w:jc w:val="both"/>
      </w:pPr>
      <w:r>
        <w:rPr>
          <w:color w:val="231F20"/>
        </w:rPr>
        <w:t>（ 3）按合同规定应撤离的承包人设备和剩余的建筑材料已按计划撤离工地，废弃的施工设备和材料亦已清除。</w:t>
      </w:r>
    </w:p>
    <w:p>
      <w:pPr>
        <w:pStyle w:val="BodyText"/>
        <w:spacing w:line="304" w:lineRule="auto" w:before="21"/>
        <w:ind w:right="215" w:firstLine="330"/>
        <w:jc w:val="both"/>
      </w:pPr>
      <w:r>
        <w:rPr>
          <w:color w:val="231F20"/>
        </w:rPr>
        <w:t>（ 4）施工区内的永久道路和永久建筑物周围（包括边坡）的排水沟道，均已按合同图纸要求和监理人的指示进行了疏通和修整。</w:t>
      </w:r>
    </w:p>
    <w:p>
      <w:pPr>
        <w:pStyle w:val="BodyText"/>
        <w:spacing w:before="21"/>
        <w:ind w:left="447"/>
      </w:pPr>
      <w:r>
        <w:rPr>
          <w:color w:val="231F20"/>
        </w:rPr>
        <w:t>（ 5）</w:t>
      </w:r>
      <w:r>
        <w:rPr>
          <w:color w:val="231F20"/>
          <w:spacing w:val="-5"/>
        </w:rPr>
        <w:t>主体工程建筑物附近及其上、下游河道中的施工堆积物，已按监理人的指示予以清理。</w:t>
      </w:r>
    </w:p>
    <w:p>
      <w:pPr>
        <w:pStyle w:val="ListParagraph"/>
        <w:numPr>
          <w:ilvl w:val="1"/>
          <w:numId w:val="9"/>
        </w:numPr>
        <w:tabs>
          <w:tab w:pos="1158" w:val="left" w:leader="none"/>
          <w:tab w:pos="1159" w:val="left" w:leader="none"/>
        </w:tabs>
        <w:spacing w:line="240" w:lineRule="auto" w:before="89" w:after="0"/>
        <w:ind w:left="1158" w:right="0" w:hanging="601"/>
        <w:jc w:val="left"/>
        <w:rPr>
          <w:sz w:val="22"/>
        </w:rPr>
      </w:pPr>
      <w:r>
        <w:rPr>
          <w:color w:val="231F20"/>
          <w:sz w:val="22"/>
        </w:rPr>
        <w:t>承包人撤离</w:t>
      </w:r>
    </w:p>
    <w:p>
      <w:pPr>
        <w:pStyle w:val="BodyText"/>
        <w:spacing w:line="304" w:lineRule="auto"/>
        <w:ind w:right="213" w:firstLine="440"/>
        <w:jc w:val="both"/>
      </w:pPr>
      <w:r>
        <w:rPr>
          <w:color w:val="231F20"/>
        </w:rPr>
        <w:t>整个工程的移交证书颁发后的 42 天内，除了经监理人同意需在保修期内继续工作和使用的人员、施工设备和临时工程外，其余的人员、施工设备和临时工程均应拆除和撤离工地，并应按《技术条款》的规定清理和平整临时征用的施工用地，做好环境恢复工作。</w:t>
      </w:r>
    </w:p>
    <w:p>
      <w:pPr>
        <w:pStyle w:val="Heading2"/>
      </w:pPr>
      <w:r>
        <w:rPr>
          <w:color w:val="231F20"/>
        </w:rPr>
        <w:t>二十二、其他</w:t>
      </w:r>
    </w:p>
    <w:p>
      <w:pPr>
        <w:pStyle w:val="ListParagraph"/>
        <w:numPr>
          <w:ilvl w:val="0"/>
          <w:numId w:val="9"/>
        </w:numPr>
        <w:tabs>
          <w:tab w:pos="1021" w:val="left" w:leader="none"/>
          <w:tab w:pos="1022" w:val="left" w:leader="none"/>
        </w:tabs>
        <w:spacing w:line="240" w:lineRule="auto" w:before="229"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纳税</w:t>
      </w:r>
    </w:p>
    <w:p>
      <w:pPr>
        <w:pStyle w:val="BodyText"/>
        <w:spacing w:line="304" w:lineRule="auto" w:before="102"/>
        <w:ind w:right="93" w:firstLine="440"/>
      </w:pPr>
      <w:r>
        <w:rPr>
          <w:color w:val="231F20"/>
        </w:rPr>
        <w:t>承包人应按有关法律、法规的规定纳税。除合同另有规定外，承包人应纳的税金包括在合同价格中。</w:t>
      </w:r>
    </w:p>
    <w:p>
      <w:pPr>
        <w:pStyle w:val="ListParagraph"/>
        <w:numPr>
          <w:ilvl w:val="0"/>
          <w:numId w:val="9"/>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严禁贿赂</w:t>
      </w:r>
    </w:p>
    <w:p>
      <w:pPr>
        <w:pStyle w:val="BodyText"/>
        <w:spacing w:before="102"/>
        <w:ind w:left="557"/>
      </w:pPr>
      <w:r>
        <w:rPr>
          <w:color w:val="231F20"/>
        </w:rPr>
        <w:t>严禁对本合同有关的单位和人员进行贿赂和使用不正当竞争手段谋取非法利益。</w:t>
      </w:r>
    </w:p>
    <w:p>
      <w:pPr>
        <w:pStyle w:val="BodyText"/>
        <w:ind w:left="557"/>
      </w:pPr>
      <w:r>
        <w:rPr>
          <w:color w:val="231F20"/>
          <w:spacing w:val="-9"/>
        </w:rPr>
        <w:t>若发现任何上述行为，发包人和承包人均应进行追查和处理，构成犯罪的提交司法部门处理。</w:t>
      </w:r>
    </w:p>
    <w:p>
      <w:pPr>
        <w:pStyle w:val="ListParagraph"/>
        <w:numPr>
          <w:ilvl w:val="0"/>
          <w:numId w:val="9"/>
        </w:numPr>
        <w:tabs>
          <w:tab w:pos="1021" w:val="left" w:leader="none"/>
          <w:tab w:pos="1022" w:val="left" w:leader="none"/>
        </w:tabs>
        <w:spacing w:line="240" w:lineRule="auto" w:before="83"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化石和文物</w:t>
      </w:r>
    </w:p>
    <w:p>
      <w:pPr>
        <w:pStyle w:val="BodyText"/>
        <w:spacing w:line="304" w:lineRule="auto" w:before="102"/>
        <w:ind w:right="93" w:firstLine="440"/>
      </w:pPr>
      <w:r>
        <w:rPr>
          <w:color w:val="231F20"/>
        </w:rPr>
        <w:t>在施工场地发掘的所有化石、钱币、有价值的物品或文物、古建筑结构以及有地质或考古价值的其他遗物等均为国家财产。承包人应按国家文物管理的有关规定采取合理的保护措施， 防止任何人员移动或损坏上述物品。一旦发现上述物品，应立即把发现的情况通知监理人，并按监理人的指示做好保护工作。由于采取保护措施而增加的费用和工期延误，应按第 20.2 款的规定办理。</w:t>
      </w:r>
    </w:p>
    <w:p>
      <w:pPr>
        <w:pStyle w:val="ListParagraph"/>
        <w:numPr>
          <w:ilvl w:val="0"/>
          <w:numId w:val="9"/>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专利技术</w:t>
      </w:r>
    </w:p>
    <w:p>
      <w:pPr>
        <w:pStyle w:val="BodyText"/>
        <w:spacing w:line="304" w:lineRule="auto" w:before="102"/>
        <w:ind w:right="213" w:firstLine="330"/>
        <w:jc w:val="both"/>
      </w:pPr>
      <w:r>
        <w:rPr>
          <w:color w:val="231F20"/>
        </w:rPr>
        <w:t>（ 1）承包人应保障发包人免于承担承包人所用的任何材料、承包人设备、工程设备或施工工艺等方面因侵犯专利权等知识产权引起的一切索赔和诉讼，保障发包人免于承担由此导致或与此有关的一切损害赔偿费、诉讼费和其他有关费用。但如果此类侵犯是由于遵照发包人的要求，或由于发包人提供的设计或《技术条款》规定所引起的除外。</w:t>
      </w:r>
    </w:p>
    <w:p>
      <w:pPr>
        <w:pStyle w:val="BodyText"/>
        <w:spacing w:line="304" w:lineRule="auto" w:before="21"/>
        <w:ind w:right="214" w:firstLine="330"/>
        <w:jc w:val="both"/>
      </w:pPr>
      <w:r>
        <w:rPr>
          <w:color w:val="231F20"/>
        </w:rPr>
        <w:t>（ 2）发包人要求承包人采用的专利技术，应办理相应的申报审批手续，承包人应按发包人的规定使用，并承担使用专利技术的一切试验工作。申报专利技术和试验所需的费用由发包人承担。</w:t>
      </w:r>
    </w:p>
    <w:p>
      <w:pPr>
        <w:spacing w:after="0" w:line="304" w:lineRule="auto"/>
        <w:jc w:val="both"/>
        <w:sectPr>
          <w:pgSz w:w="11910" w:h="16840"/>
          <w:pgMar w:header="0" w:footer="832" w:top="1580" w:bottom="1020" w:left="1300" w:right="1200"/>
        </w:sectPr>
      </w:pPr>
    </w:p>
    <w:p>
      <w:pPr>
        <w:pStyle w:val="BodyText"/>
        <w:spacing w:line="304" w:lineRule="auto" w:before="24"/>
        <w:ind w:right="93" w:firstLine="330"/>
      </w:pPr>
      <w:r>
        <w:rPr>
          <w:color w:val="231F20"/>
        </w:rPr>
        <w:t>（ 3）发包人应对承包人在投标中和合同执行过程中提交的标有密级的施工文件进行保密， 应保障文件中涉及承包人自身拥有的专利等知识产权不因发包人疏漏而遭损害。若由于发包人的责任或其人员的不正当行为造成对承包人知识产权的侵害，承包人有权要求发包人赔偿损失和承担相应的侵权责任。</w:t>
      </w:r>
    </w:p>
    <w:p>
      <w:pPr>
        <w:pStyle w:val="ListParagraph"/>
        <w:numPr>
          <w:ilvl w:val="0"/>
          <w:numId w:val="9"/>
        </w:numPr>
        <w:tabs>
          <w:tab w:pos="1021" w:val="left" w:leader="none"/>
          <w:tab w:pos="1022" w:val="left" w:leader="none"/>
        </w:tabs>
        <w:spacing w:line="240" w:lineRule="auto" w:before="15"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承包人的合理化建议</w:t>
      </w:r>
    </w:p>
    <w:p>
      <w:pPr>
        <w:pStyle w:val="BodyText"/>
        <w:spacing w:line="304" w:lineRule="auto" w:before="102"/>
        <w:ind w:right="214" w:firstLine="440"/>
        <w:jc w:val="both"/>
      </w:pPr>
      <w:r>
        <w:rPr>
          <w:color w:val="231F20"/>
        </w:rPr>
        <w:t>在合同实施过程中，承包人对发包人提供的施工图纸、技术要求及其他方面提出的合理化建议，应以书面形式提交监理人，建议的内容应包括建议的价值、对其他工程的影响和必要的设计原则、标准、计算和图纸等。监理人收到承包人的合理化建议后，应会同发包人与有关单位研究后确定。若建议被采纳，需待监理人发出变更决定后方可实施，否则承包人仍应按原合同规定进行施工。若由于采用了承包人提出的合理化建议降低了合同价格，则发包人应酌情给予奖励。</w:t>
      </w:r>
    </w:p>
    <w:p>
      <w:pPr>
        <w:pStyle w:val="ListParagraph"/>
        <w:numPr>
          <w:ilvl w:val="0"/>
          <w:numId w:val="9"/>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合同生效和终止</w:t>
      </w:r>
    </w:p>
    <w:p>
      <w:pPr>
        <w:pStyle w:val="ListParagraph"/>
        <w:numPr>
          <w:ilvl w:val="1"/>
          <w:numId w:val="9"/>
        </w:numPr>
        <w:tabs>
          <w:tab w:pos="1161" w:val="left" w:leader="none"/>
          <w:tab w:pos="1162" w:val="left" w:leader="none"/>
        </w:tabs>
        <w:spacing w:line="304" w:lineRule="auto" w:before="101" w:after="0"/>
        <w:ind w:left="117" w:right="213" w:firstLine="440"/>
        <w:jc w:val="left"/>
        <w:rPr>
          <w:sz w:val="22"/>
        </w:rPr>
      </w:pPr>
      <w:r>
        <w:rPr>
          <w:color w:val="231F20"/>
          <w:sz w:val="22"/>
        </w:rPr>
        <w:t>合同生效除合同另有规定外，发包人和承包人的法定代表人或其委托代理人在协议书上签名并盖单位公章后，合同生效。</w:t>
      </w:r>
    </w:p>
    <w:p>
      <w:pPr>
        <w:pStyle w:val="ListParagraph"/>
        <w:numPr>
          <w:ilvl w:val="1"/>
          <w:numId w:val="9"/>
        </w:numPr>
        <w:tabs>
          <w:tab w:pos="1160" w:val="left" w:leader="none"/>
          <w:tab w:pos="1161" w:val="left" w:leader="none"/>
        </w:tabs>
        <w:spacing w:line="304" w:lineRule="auto" w:before="20" w:after="0"/>
        <w:ind w:left="117" w:right="215" w:firstLine="440"/>
        <w:jc w:val="left"/>
        <w:rPr>
          <w:sz w:val="22"/>
        </w:rPr>
      </w:pPr>
      <w:r>
        <w:rPr>
          <w:color w:val="231F20"/>
          <w:spacing w:val="-5"/>
          <w:sz w:val="22"/>
        </w:rPr>
        <w:t>合同终止承包人已将合同工程全部移交给发包人，且保修期满，发包人或被授权的监</w:t>
      </w:r>
      <w:r>
        <w:rPr>
          <w:color w:val="231F20"/>
          <w:spacing w:val="-9"/>
          <w:sz w:val="22"/>
        </w:rPr>
        <w:t>理人已颁发保修责任终止证书，合同双方均未遗留按合同规定应履行的义务时，合同自然终止。</w:t>
      </w:r>
    </w:p>
    <w:p>
      <w:pPr>
        <w:spacing w:after="0" w:line="304" w:lineRule="auto"/>
        <w:jc w:val="left"/>
        <w:rPr>
          <w:sz w:val="22"/>
        </w:rPr>
        <w:sectPr>
          <w:footerReference w:type="even" r:id="rId21"/>
          <w:footerReference w:type="default" r:id="rId22"/>
          <w:pgSz w:w="11910" w:h="16840"/>
          <w:pgMar w:footer="832" w:header="0" w:top="1580" w:bottom="1020" w:left="1300" w:right="1200"/>
          <w:pgNumType w:start="42"/>
        </w:sectPr>
      </w:pPr>
    </w:p>
    <w:p>
      <w:pPr>
        <w:pStyle w:val="BodyText"/>
        <w:spacing w:before="0"/>
        <w:ind w:left="0"/>
        <w:rPr>
          <w:sz w:val="20"/>
        </w:rPr>
      </w:pPr>
    </w:p>
    <w:p>
      <w:pPr>
        <w:pStyle w:val="BodyText"/>
        <w:spacing w:before="0"/>
        <w:ind w:left="0"/>
        <w:rPr>
          <w:sz w:val="20"/>
        </w:rPr>
      </w:pPr>
    </w:p>
    <w:p>
      <w:pPr>
        <w:pStyle w:val="Heading1"/>
        <w:tabs>
          <w:tab w:pos="1399" w:val="left" w:leader="none"/>
        </w:tabs>
        <w:spacing w:before="154"/>
        <w:rPr>
          <w:rFonts w:ascii="方正黑体_GBK" w:eastAsia="方正黑体_GBK" w:hint="eastAsia"/>
        </w:rPr>
      </w:pPr>
      <w:r>
        <w:rPr>
          <w:rFonts w:ascii="方正黑体_GBK" w:eastAsia="方正黑体_GBK" w:hint="eastAsia"/>
          <w:color w:val="231F20"/>
        </w:rPr>
        <w:t>第二部分</w:t>
        <w:tab/>
        <w:t>专用合同条款</w:t>
      </w:r>
    </w:p>
    <w:p>
      <w:pPr>
        <w:pStyle w:val="BodyText"/>
        <w:spacing w:before="3"/>
        <w:ind w:left="0"/>
        <w:rPr>
          <w:rFonts w:ascii="方正黑体_GBK"/>
          <w:sz w:val="25"/>
        </w:rPr>
      </w:pPr>
    </w:p>
    <w:p>
      <w:pPr>
        <w:pStyle w:val="BodyText"/>
        <w:spacing w:before="0"/>
        <w:ind w:left="557"/>
        <w:rPr>
          <w:rFonts w:ascii="方正黑体_GBK" w:eastAsia="方正黑体_GBK" w:hint="eastAsia"/>
        </w:rPr>
      </w:pPr>
      <w:r>
        <w:rPr>
          <w:rFonts w:ascii="方正黑体_GBK" w:eastAsia="方正黑体_GBK" w:hint="eastAsia"/>
          <w:color w:val="231F20"/>
        </w:rPr>
        <w:t>前言</w:t>
      </w:r>
    </w:p>
    <w:p>
      <w:pPr>
        <w:pStyle w:val="BodyText"/>
        <w:spacing w:line="304" w:lineRule="auto" w:before="102"/>
        <w:ind w:right="114" w:firstLine="440"/>
        <w:jc w:val="both"/>
      </w:pPr>
      <w:r>
        <w:rPr>
          <w:color w:val="231F20"/>
        </w:rPr>
        <w:t>专用合同条款中的各条款是补充和修改通用合同条款中条款号相同的条款或当需要时增加新的条款，两者应对照阅读，一旦出现矛盾或不一致，则以专用合同条款为准，通用合同条款中未补充和修改的部分仍有效。</w:t>
      </w:r>
    </w:p>
    <w:p>
      <w:pPr>
        <w:pStyle w:val="BodyText"/>
        <w:tabs>
          <w:tab w:pos="899" w:val="left" w:leader="none"/>
        </w:tabs>
        <w:spacing w:before="15"/>
        <w:ind w:left="557"/>
        <w:rPr>
          <w:rFonts w:ascii="方正黑体_GBK" w:eastAsia="方正黑体_GBK" w:hint="eastAsia"/>
        </w:rPr>
      </w:pPr>
      <w:r>
        <w:rPr>
          <w:rFonts w:ascii="方正黑体_GBK" w:eastAsia="方正黑体_GBK" w:hint="eastAsia"/>
          <w:color w:val="231F20"/>
        </w:rPr>
        <w:t>1</w:t>
        <w:tab/>
        <w:t>词语含义</w:t>
      </w:r>
    </w:p>
    <w:p>
      <w:pPr>
        <w:pStyle w:val="BodyText"/>
        <w:tabs>
          <w:tab w:pos="1049" w:val="left" w:leader="none"/>
        </w:tabs>
        <w:spacing w:before="102"/>
        <w:ind w:left="557"/>
      </w:pPr>
      <w:r>
        <w:rPr>
          <w:color w:val="231F20"/>
        </w:rPr>
        <w:t>1.1</w:t>
        <w:tab/>
        <w:t>有关合同双方和监理人的词语</w:t>
      </w:r>
    </w:p>
    <w:p>
      <w:pPr>
        <w:pStyle w:val="BodyText"/>
        <w:ind w:left="447"/>
      </w:pPr>
      <w:r>
        <w:rPr>
          <w:color w:val="231F20"/>
        </w:rPr>
        <w:t>（ 1）发包人是</w:t>
      </w:r>
      <w:r>
        <w:rPr>
          <w:color w:val="231F20"/>
          <w:u w:val="single" w:color="231F20"/>
        </w:rPr>
        <w:t>（填入发包人名称</w:t>
      </w:r>
      <w:r>
        <w:rPr>
          <w:color w:val="231F20"/>
          <w:spacing w:val="-83"/>
          <w:u w:val="single" w:color="231F20"/>
        </w:rPr>
        <w:t>）</w:t>
      </w:r>
      <w:r>
        <w:rPr>
          <w:color w:val="231F20"/>
        </w:rPr>
        <w:t>。</w:t>
      </w:r>
    </w:p>
    <w:p>
      <w:pPr>
        <w:pStyle w:val="BodyText"/>
        <w:ind w:left="447"/>
      </w:pPr>
      <w:r>
        <w:rPr>
          <w:color w:val="231F20"/>
        </w:rPr>
        <w:t>（ 4）监理人是</w:t>
      </w:r>
      <w:r>
        <w:rPr>
          <w:color w:val="231F20"/>
          <w:u w:val="single" w:color="231F20"/>
        </w:rPr>
        <w:t>（填入监理人名称</w:t>
      </w:r>
      <w:r>
        <w:rPr>
          <w:color w:val="231F20"/>
          <w:spacing w:val="-83"/>
          <w:u w:val="single" w:color="231F20"/>
        </w:rPr>
        <w:t>）</w:t>
      </w:r>
      <w:r>
        <w:rPr>
          <w:color w:val="231F20"/>
        </w:rPr>
        <w:t>。</w:t>
      </w:r>
    </w:p>
    <w:p>
      <w:pPr>
        <w:pStyle w:val="BodyText"/>
        <w:ind w:left="557"/>
      </w:pPr>
      <w:r>
        <w:rPr>
          <w:color w:val="231F20"/>
        </w:rPr>
        <w:t>1.3 有关工程和设备的词语</w:t>
      </w:r>
    </w:p>
    <w:p>
      <w:pPr>
        <w:pStyle w:val="BodyText"/>
        <w:ind w:left="447"/>
      </w:pPr>
      <w:r>
        <w:rPr>
          <w:color w:val="231F20"/>
        </w:rPr>
        <w:t>（ 4）主体工程包括以下工程：</w:t>
      </w:r>
    </w:p>
    <w:p>
      <w:pPr>
        <w:pStyle w:val="BodyText"/>
        <w:ind w:left="557"/>
      </w:pPr>
      <w:r>
        <w:rPr>
          <w:color w:val="231F20"/>
        </w:rPr>
        <w:t>①（填入工程名称）；</w:t>
      </w:r>
    </w:p>
    <w:p>
      <w:pPr>
        <w:pStyle w:val="BodyText"/>
        <w:ind w:left="557"/>
      </w:pPr>
      <w:r>
        <w:rPr/>
        <w:pict>
          <v:shape style="position:absolute;margin-left:91.823204pt;margin-top:28.3913pt;width:14.65pt;height:34pt;mso-position-horizontal-relative:page;mso-position-vertical-relative:paragraph;z-index:1096" type="#_x0000_t202" filled="false" stroked="false">
            <v:textbox inset="0,0,0,0" style="layout-flow:vertical;mso-layout-flow-alt:bottom-to-top">
              <w:txbxContent>
                <w:p>
                  <w:pPr>
                    <w:pStyle w:val="BodyText"/>
                    <w:spacing w:line="273" w:lineRule="exact" w:before="0"/>
                    <w:ind w:left="20"/>
                  </w:pPr>
                  <w:r>
                    <w:rPr>
                      <w:color w:val="231F20"/>
                    </w:rPr>
                    <w:t>…   </w:t>
                  </w:r>
                  <w:r>
                    <w:rPr>
                      <w:color w:val="231F20"/>
                      <w:spacing w:val="-17"/>
                    </w:rPr>
                    <w:t> </w:t>
                  </w:r>
                  <w:r>
                    <w:rPr>
                      <w:color w:val="231F20"/>
                    </w:rPr>
                    <w:t>…</w:t>
                  </w:r>
                </w:p>
              </w:txbxContent>
            </v:textbox>
            <w10:wrap type="none"/>
          </v:shape>
        </w:pict>
      </w:r>
      <w:r>
        <w:rPr>
          <w:color w:val="231F20"/>
        </w:rPr>
        <w:t>②</w:t>
      </w:r>
    </w:p>
    <w:p>
      <w:pPr>
        <w:pStyle w:val="BodyText"/>
        <w:spacing w:before="0"/>
        <w:ind w:left="0"/>
        <w:rPr>
          <w:sz w:val="20"/>
        </w:rPr>
      </w:pPr>
    </w:p>
    <w:p>
      <w:pPr>
        <w:pStyle w:val="BodyText"/>
        <w:spacing w:before="0"/>
        <w:ind w:left="0"/>
        <w:rPr>
          <w:sz w:val="20"/>
        </w:rPr>
      </w:pPr>
    </w:p>
    <w:p>
      <w:pPr>
        <w:pStyle w:val="BodyText"/>
        <w:spacing w:before="5"/>
        <w:ind w:left="0"/>
        <w:rPr>
          <w:sz w:val="20"/>
        </w:rPr>
      </w:pPr>
    </w:p>
    <w:p>
      <w:pPr>
        <w:pStyle w:val="BodyText"/>
        <w:spacing w:before="22"/>
        <w:ind w:left="0" w:right="5632"/>
        <w:jc w:val="center"/>
      </w:pPr>
      <w:r>
        <w:rPr>
          <w:color w:val="231F20"/>
        </w:rPr>
        <w:t>（ 5）单位工程指以下工程：</w:t>
      </w:r>
    </w:p>
    <w:p>
      <w:pPr>
        <w:pStyle w:val="BodyText"/>
        <w:ind w:left="557"/>
      </w:pPr>
      <w:r>
        <w:rPr>
          <w:color w:val="231F20"/>
        </w:rPr>
        <w:t>①（填入单位工程名称）；</w:t>
      </w:r>
    </w:p>
    <w:p>
      <w:pPr>
        <w:pStyle w:val="BodyText"/>
        <w:ind w:left="557"/>
      </w:pPr>
      <w:r>
        <w:rPr/>
        <w:pict>
          <v:shape style="position:absolute;margin-left:91.823204pt;margin-top:28.3913pt;width:14.65pt;height:34pt;mso-position-horizontal-relative:page;mso-position-vertical-relative:paragraph;z-index:1072" type="#_x0000_t202" filled="false" stroked="false">
            <v:textbox inset="0,0,0,0" style="layout-flow:vertical;mso-layout-flow-alt:bottom-to-top">
              <w:txbxContent>
                <w:p>
                  <w:pPr>
                    <w:pStyle w:val="BodyText"/>
                    <w:spacing w:line="273" w:lineRule="exact" w:before="0"/>
                    <w:ind w:left="20"/>
                  </w:pPr>
                  <w:r>
                    <w:rPr>
                      <w:color w:val="231F20"/>
                    </w:rPr>
                    <w:t>…   </w:t>
                  </w:r>
                  <w:r>
                    <w:rPr>
                      <w:color w:val="231F20"/>
                      <w:spacing w:val="-17"/>
                    </w:rPr>
                    <w:t> </w:t>
                  </w:r>
                  <w:r>
                    <w:rPr>
                      <w:color w:val="231F20"/>
                    </w:rPr>
                    <w:t>…</w:t>
                  </w:r>
                </w:p>
              </w:txbxContent>
            </v:textbox>
            <w10:wrap type="none"/>
          </v:shape>
        </w:pict>
      </w:r>
      <w:r>
        <w:rPr>
          <w:color w:val="231F20"/>
        </w:rPr>
        <w:t>②</w:t>
      </w:r>
    </w:p>
    <w:p>
      <w:pPr>
        <w:pStyle w:val="BodyText"/>
        <w:spacing w:before="0"/>
        <w:ind w:left="0"/>
        <w:rPr>
          <w:sz w:val="20"/>
        </w:rPr>
      </w:pPr>
    </w:p>
    <w:p>
      <w:pPr>
        <w:pStyle w:val="BodyText"/>
        <w:spacing w:before="0"/>
        <w:ind w:left="0"/>
        <w:rPr>
          <w:sz w:val="20"/>
        </w:rPr>
      </w:pPr>
    </w:p>
    <w:p>
      <w:pPr>
        <w:pStyle w:val="BodyText"/>
        <w:spacing w:before="12"/>
        <w:ind w:left="0"/>
        <w:rPr>
          <w:sz w:val="19"/>
        </w:rPr>
      </w:pPr>
    </w:p>
    <w:p>
      <w:pPr>
        <w:pStyle w:val="ListParagraph"/>
        <w:numPr>
          <w:ilvl w:val="0"/>
          <w:numId w:val="10"/>
        </w:numPr>
        <w:tabs>
          <w:tab w:pos="899" w:val="left" w:leader="none"/>
          <w:tab w:pos="900" w:val="left" w:leader="none"/>
        </w:tabs>
        <w:spacing w:line="240" w:lineRule="auto" w:before="24" w:after="0"/>
        <w:ind w:left="899" w:right="0" w:hanging="342"/>
        <w:jc w:val="left"/>
        <w:rPr>
          <w:rFonts w:ascii="方正黑体_GBK" w:eastAsia="方正黑体_GBK" w:hint="eastAsia"/>
          <w:sz w:val="22"/>
        </w:rPr>
      </w:pPr>
      <w:r>
        <w:rPr>
          <w:rFonts w:ascii="方正黑体_GBK" w:eastAsia="方正黑体_GBK" w:hint="eastAsia"/>
          <w:color w:val="231F20"/>
          <w:sz w:val="22"/>
        </w:rPr>
        <w:t>合同文件的优先顺序</w:t>
      </w:r>
    </w:p>
    <w:p>
      <w:pPr>
        <w:pStyle w:val="BodyText"/>
        <w:spacing w:before="102"/>
        <w:ind w:left="557"/>
      </w:pPr>
      <w:r>
        <w:rPr>
          <w:color w:val="231F20"/>
        </w:rPr>
        <w:t>除合同另有规定外，解释合同文件的优先顺序如下</w:t>
      </w:r>
      <w:r>
        <w:rPr>
          <w:color w:val="231F20"/>
          <w:spacing w:val="-165"/>
        </w:rPr>
        <w:t>：</w:t>
      </w:r>
      <w:r>
        <w:rPr>
          <w:color w:val="231F20"/>
        </w:rPr>
        <w:t>（示例，供参考）</w:t>
      </w:r>
    </w:p>
    <w:p>
      <w:pPr>
        <w:pStyle w:val="BodyText"/>
        <w:ind w:left="447"/>
      </w:pPr>
      <w:r>
        <w:rPr>
          <w:color w:val="231F20"/>
        </w:rPr>
        <w:t>（ 1）协议书（包括补充协议）；</w:t>
      </w:r>
    </w:p>
    <w:p>
      <w:pPr>
        <w:pStyle w:val="BodyText"/>
        <w:ind w:left="447"/>
      </w:pPr>
      <w:r>
        <w:rPr>
          <w:color w:val="231F20"/>
        </w:rPr>
        <w:t>（ 2）中标通知书；</w:t>
      </w:r>
    </w:p>
    <w:p>
      <w:pPr>
        <w:pStyle w:val="BodyText"/>
        <w:ind w:left="447"/>
      </w:pPr>
      <w:r>
        <w:rPr>
          <w:color w:val="231F20"/>
        </w:rPr>
        <w:t>（ 3）投标报价书；</w:t>
      </w:r>
    </w:p>
    <w:p>
      <w:pPr>
        <w:pStyle w:val="BodyText"/>
        <w:ind w:left="447"/>
      </w:pPr>
      <w:r>
        <w:rPr>
          <w:color w:val="231F20"/>
        </w:rPr>
        <w:t>（ 4）专用合同条款；</w:t>
      </w:r>
    </w:p>
    <w:p>
      <w:pPr>
        <w:pStyle w:val="BodyText"/>
        <w:ind w:left="447"/>
      </w:pPr>
      <w:r>
        <w:rPr>
          <w:color w:val="231F20"/>
        </w:rPr>
        <w:t>（ 5）通用合同条款；</w:t>
      </w:r>
    </w:p>
    <w:p>
      <w:pPr>
        <w:pStyle w:val="BodyText"/>
        <w:ind w:left="447"/>
      </w:pPr>
      <w:r>
        <w:rPr>
          <w:color w:val="231F20"/>
        </w:rPr>
        <w:t>（ 6）技术条款；</w:t>
      </w:r>
    </w:p>
    <w:p>
      <w:pPr>
        <w:pStyle w:val="BodyText"/>
        <w:ind w:left="447"/>
      </w:pPr>
      <w:r>
        <w:rPr>
          <w:color w:val="231F20"/>
        </w:rPr>
        <w:t>（ 7）图纸；</w:t>
      </w:r>
    </w:p>
    <w:p>
      <w:pPr>
        <w:pStyle w:val="BodyText"/>
        <w:ind w:left="447"/>
      </w:pPr>
      <w:r>
        <w:rPr>
          <w:color w:val="231F20"/>
        </w:rPr>
        <w:t>（ 8）已标价的工程量清单；</w:t>
      </w:r>
    </w:p>
    <w:p>
      <w:pPr>
        <w:spacing w:after="0"/>
        <w:sectPr>
          <w:pgSz w:w="11910" w:h="16840"/>
          <w:pgMar w:header="0" w:footer="832" w:top="1580" w:bottom="1020" w:left="1300" w:right="1300"/>
        </w:sectPr>
      </w:pPr>
    </w:p>
    <w:p>
      <w:pPr>
        <w:pStyle w:val="BodyText"/>
        <w:spacing w:before="24"/>
        <w:ind w:left="447"/>
      </w:pPr>
      <w:r>
        <w:rPr>
          <w:color w:val="231F20"/>
        </w:rPr>
        <w:t>（ 9）经双方确认进入合同的其他文件。</w:t>
      </w:r>
    </w:p>
    <w:p>
      <w:pPr>
        <w:pStyle w:val="ListParagraph"/>
        <w:numPr>
          <w:ilvl w:val="0"/>
          <w:numId w:val="10"/>
        </w:numPr>
        <w:tabs>
          <w:tab w:pos="899" w:val="left" w:leader="none"/>
          <w:tab w:pos="900" w:val="left" w:leader="none"/>
        </w:tabs>
        <w:spacing w:line="240" w:lineRule="auto" w:before="83" w:after="0"/>
        <w:ind w:left="899" w:right="0" w:hanging="342"/>
        <w:jc w:val="left"/>
        <w:rPr>
          <w:rFonts w:ascii="方正黑体_GBK" w:eastAsia="方正黑体_GBK" w:hint="eastAsia"/>
          <w:sz w:val="22"/>
        </w:rPr>
      </w:pPr>
      <w:r>
        <w:rPr>
          <w:rFonts w:ascii="方正黑体_GBK" w:eastAsia="方正黑体_GBK" w:hint="eastAsia"/>
          <w:color w:val="231F20"/>
          <w:sz w:val="22"/>
        </w:rPr>
        <w:t>发包人的一般义务和责任</w:t>
      </w:r>
    </w:p>
    <w:p>
      <w:pPr>
        <w:pStyle w:val="BodyText"/>
        <w:tabs>
          <w:tab w:pos="1049" w:val="left" w:leader="none"/>
        </w:tabs>
        <w:spacing w:before="102"/>
        <w:ind w:left="557"/>
      </w:pPr>
      <w:r>
        <w:rPr>
          <w:color w:val="231F20"/>
        </w:rPr>
        <w:t>4.4</w:t>
        <w:tab/>
        <w:t>提供施工用地</w:t>
      </w:r>
    </w:p>
    <w:p>
      <w:pPr>
        <w:pStyle w:val="BodyText"/>
        <w:spacing w:line="304" w:lineRule="auto"/>
        <w:ind w:firstLine="440"/>
      </w:pPr>
      <w:r>
        <w:rPr>
          <w:color w:val="231F20"/>
        </w:rPr>
        <w:t>发包人提供给承包人的施工用地范围和时限见（填入施工用地范围图表名称，用地范围图应标明范围的坐标</w:t>
      </w:r>
      <w:r>
        <w:rPr>
          <w:color w:val="231F20"/>
          <w:spacing w:val="-83"/>
        </w:rPr>
        <w:t>）</w:t>
      </w:r>
      <w:r>
        <w:rPr>
          <w:color w:val="231F20"/>
        </w:rPr>
        <w:t>。</w:t>
      </w:r>
    </w:p>
    <w:p>
      <w:pPr>
        <w:pStyle w:val="BodyText"/>
        <w:spacing w:line="304" w:lineRule="auto" w:before="21"/>
        <w:ind w:firstLine="440"/>
      </w:pPr>
      <w:r>
        <w:rPr>
          <w:color w:val="231F20"/>
        </w:rPr>
        <w:t>若招标文件中仅初步规定施工用地范围而未规定用地的确切界限和分片提供的期限时，本款可作如下修改：</w:t>
      </w:r>
    </w:p>
    <w:p>
      <w:pPr>
        <w:pStyle w:val="BodyText"/>
        <w:spacing w:before="21"/>
        <w:ind w:left="557"/>
      </w:pPr>
      <w:r>
        <w:rPr>
          <w:color w:val="231F20"/>
        </w:rPr>
        <w:t>删去本款全文，并代之以：</w:t>
      </w:r>
    </w:p>
    <w:p>
      <w:pPr>
        <w:pStyle w:val="BodyText"/>
        <w:spacing w:line="304" w:lineRule="auto"/>
        <w:ind w:firstLine="440"/>
      </w:pPr>
      <w:r>
        <w:rPr>
          <w:color w:val="231F20"/>
        </w:rPr>
        <w:t>发包人负责办理工地范围内的征地和移民。向承包人提供施工用地，提供的用地范围和期限在签订协议书时商定。</w:t>
      </w:r>
    </w:p>
    <w:p>
      <w:pPr>
        <w:pStyle w:val="BodyText"/>
        <w:tabs>
          <w:tab w:pos="1158" w:val="left" w:leader="none"/>
        </w:tabs>
        <w:spacing w:before="21"/>
        <w:ind w:left="557"/>
      </w:pPr>
      <w:r>
        <w:rPr>
          <w:color w:val="231F20"/>
        </w:rPr>
        <w:t>4.15</w:t>
        <w:tab/>
        <w:t>其他一般义务和责任</w:t>
      </w:r>
    </w:p>
    <w:p>
      <w:pPr>
        <w:pStyle w:val="BodyText"/>
        <w:ind w:left="447"/>
      </w:pPr>
      <w:r>
        <w:rPr>
          <w:color w:val="231F20"/>
        </w:rPr>
        <w:t>（可根据具体工程情况补充）</w:t>
      </w:r>
    </w:p>
    <w:p>
      <w:pPr>
        <w:pStyle w:val="BodyText"/>
        <w:spacing w:before="83"/>
        <w:ind w:left="557"/>
        <w:rPr>
          <w:rFonts w:ascii="方正黑体_GBK" w:eastAsia="方正黑体_GBK" w:hint="eastAsia"/>
        </w:rPr>
      </w:pPr>
      <w:r>
        <w:rPr>
          <w:rFonts w:ascii="方正黑体_GBK" w:eastAsia="方正黑体_GBK" w:hint="eastAsia"/>
          <w:color w:val="231F20"/>
        </w:rPr>
        <w:t>5、承包人的一般义务和责任</w:t>
      </w:r>
    </w:p>
    <w:p>
      <w:pPr>
        <w:pStyle w:val="BodyText"/>
        <w:tabs>
          <w:tab w:pos="1158" w:val="left" w:leader="none"/>
        </w:tabs>
        <w:spacing w:before="102"/>
        <w:ind w:left="557"/>
      </w:pPr>
      <w:r>
        <w:rPr>
          <w:color w:val="231F20"/>
        </w:rPr>
        <w:t>5.15</w:t>
        <w:tab/>
        <w:t>其他一般义务和责任</w:t>
      </w:r>
    </w:p>
    <w:p>
      <w:pPr>
        <w:pStyle w:val="BodyText"/>
        <w:ind w:left="447"/>
      </w:pPr>
      <w:r>
        <w:rPr>
          <w:color w:val="231F20"/>
        </w:rPr>
        <w:t>（可根据具体工程情况补充）</w:t>
      </w:r>
    </w:p>
    <w:p>
      <w:pPr>
        <w:pStyle w:val="ListParagraph"/>
        <w:numPr>
          <w:ilvl w:val="0"/>
          <w:numId w:val="11"/>
        </w:numPr>
        <w:tabs>
          <w:tab w:pos="899" w:val="left" w:leader="none"/>
          <w:tab w:pos="900" w:val="left" w:leader="none"/>
        </w:tabs>
        <w:spacing w:line="240" w:lineRule="auto" w:before="83" w:after="0"/>
        <w:ind w:left="899" w:right="0" w:hanging="342"/>
        <w:jc w:val="left"/>
        <w:rPr>
          <w:rFonts w:ascii="方正黑体_GBK" w:eastAsia="方正黑体_GBK" w:hint="eastAsia"/>
          <w:sz w:val="22"/>
        </w:rPr>
      </w:pPr>
      <w:r>
        <w:rPr>
          <w:rFonts w:ascii="方正黑体_GBK" w:eastAsia="方正黑体_GBK" w:hint="eastAsia"/>
          <w:color w:val="231F20"/>
          <w:sz w:val="22"/>
        </w:rPr>
        <w:t>履约担保</w:t>
      </w:r>
    </w:p>
    <w:p>
      <w:pPr>
        <w:pStyle w:val="ListParagraph"/>
        <w:numPr>
          <w:ilvl w:val="1"/>
          <w:numId w:val="11"/>
        </w:numPr>
        <w:tabs>
          <w:tab w:pos="1049" w:val="left" w:leader="none"/>
          <w:tab w:pos="1050" w:val="left" w:leader="none"/>
        </w:tabs>
        <w:spacing w:line="240" w:lineRule="auto" w:before="102" w:after="0"/>
        <w:ind w:left="557" w:right="0" w:firstLine="0"/>
        <w:jc w:val="left"/>
        <w:rPr>
          <w:sz w:val="22"/>
        </w:rPr>
      </w:pPr>
      <w:r>
        <w:rPr>
          <w:color w:val="231F20"/>
          <w:sz w:val="22"/>
        </w:rPr>
        <w:t>履约担保证件</w:t>
      </w:r>
    </w:p>
    <w:p>
      <w:pPr>
        <w:pStyle w:val="BodyText"/>
        <w:tabs>
          <w:tab w:pos="2757" w:val="left" w:leader="none"/>
          <w:tab w:pos="6309" w:val="left" w:leader="none"/>
        </w:tabs>
        <w:spacing w:line="304" w:lineRule="auto"/>
        <w:ind w:right="113" w:firstLine="440"/>
      </w:pPr>
      <w:r>
        <w:rPr>
          <w:color w:val="231F20"/>
        </w:rPr>
        <w:t>本款中采用履约保函形式的担保金额为合同价格的</w:t>
      </w:r>
      <w:r>
        <w:rPr>
          <w:color w:val="231F20"/>
          <w:u w:val="single" w:color="231F20"/>
        </w:rPr>
        <w:t> </w:t>
        <w:tab/>
      </w:r>
      <w:r>
        <w:rPr>
          <w:color w:val="231F20"/>
        </w:rPr>
        <w:t>％</w:t>
      </w:r>
      <w:r>
        <w:rPr>
          <w:color w:val="231F20"/>
          <w:spacing w:val="10"/>
        </w:rPr>
        <w:t> </w:t>
      </w:r>
      <w:r>
        <w:rPr>
          <w:color w:val="231F20"/>
          <w:spacing w:val="-54"/>
        </w:rPr>
        <w:t>；</w:t>
      </w:r>
      <w:r>
        <w:rPr>
          <w:color w:val="231F20"/>
        </w:rPr>
        <w:t>采用履约担保书形式的担保金额为合同价的</w:t>
      </w:r>
      <w:r>
        <w:rPr>
          <w:color w:val="231F20"/>
          <w:u w:val="single" w:color="231F20"/>
        </w:rPr>
        <w:t> </w:t>
        <w:tab/>
      </w:r>
      <w:r>
        <w:rPr>
          <w:color w:val="231F20"/>
        </w:rPr>
        <w:t>％。</w:t>
      </w:r>
    </w:p>
    <w:p>
      <w:pPr>
        <w:pStyle w:val="ListParagraph"/>
        <w:numPr>
          <w:ilvl w:val="1"/>
          <w:numId w:val="11"/>
        </w:numPr>
        <w:tabs>
          <w:tab w:pos="1049" w:val="left" w:leader="none"/>
          <w:tab w:pos="1050" w:val="left" w:leader="none"/>
        </w:tabs>
        <w:spacing w:line="304" w:lineRule="auto" w:before="20" w:after="0"/>
        <w:ind w:left="557" w:right="6053" w:firstLine="0"/>
        <w:jc w:val="left"/>
        <w:rPr>
          <w:sz w:val="22"/>
        </w:rPr>
      </w:pPr>
      <w:r>
        <w:rPr>
          <w:color w:val="231F20"/>
          <w:sz w:val="22"/>
        </w:rPr>
        <w:t>履约担保证件的有效期本款亦可采用以下方案。  删去本款全文，并代之以：</w:t>
      </w:r>
    </w:p>
    <w:p>
      <w:pPr>
        <w:pStyle w:val="BodyText"/>
        <w:spacing w:before="20"/>
        <w:ind w:left="557"/>
      </w:pPr>
      <w:r>
        <w:rPr>
          <w:color w:val="231F20"/>
        </w:rPr>
        <w:t>履约保函自合同生效日起至工程移交证书颁发后 28 天内一直有效。履约担保书自合同生</w:t>
      </w:r>
    </w:p>
    <w:p>
      <w:pPr>
        <w:pStyle w:val="BodyText"/>
        <w:spacing w:line="304" w:lineRule="auto"/>
        <w:ind w:right="103"/>
      </w:pPr>
      <w:r>
        <w:rPr>
          <w:color w:val="231F20"/>
        </w:rPr>
        <w:t>效日起至工程移交证书颁发后一年内一直有效。上述两种证件均应在其有效期结束后 14 天内退还给承包人。</w:t>
      </w:r>
    </w:p>
    <w:p>
      <w:pPr>
        <w:pStyle w:val="ListParagraph"/>
        <w:numPr>
          <w:ilvl w:val="0"/>
          <w:numId w:val="11"/>
        </w:numPr>
        <w:tabs>
          <w:tab w:pos="899" w:val="left" w:leader="none"/>
          <w:tab w:pos="900" w:val="left" w:leader="none"/>
        </w:tabs>
        <w:spacing w:line="240" w:lineRule="auto" w:before="15" w:after="0"/>
        <w:ind w:left="899" w:right="0" w:hanging="342"/>
        <w:jc w:val="left"/>
        <w:rPr>
          <w:rFonts w:ascii="方正黑体_GBK" w:eastAsia="方正黑体_GBK" w:hint="eastAsia"/>
          <w:sz w:val="22"/>
        </w:rPr>
      </w:pPr>
      <w:r>
        <w:rPr>
          <w:rFonts w:ascii="方正黑体_GBK" w:eastAsia="方正黑体_GBK" w:hint="eastAsia"/>
          <w:color w:val="231F20"/>
          <w:sz w:val="22"/>
        </w:rPr>
        <w:t>监理人和总监理工程师</w:t>
      </w:r>
    </w:p>
    <w:p>
      <w:pPr>
        <w:pStyle w:val="ListParagraph"/>
        <w:numPr>
          <w:ilvl w:val="1"/>
          <w:numId w:val="11"/>
        </w:numPr>
        <w:tabs>
          <w:tab w:pos="1049" w:val="left" w:leader="none"/>
          <w:tab w:pos="1050" w:val="left" w:leader="none"/>
        </w:tabs>
        <w:spacing w:line="304" w:lineRule="auto" w:before="102" w:after="0"/>
        <w:ind w:left="557" w:right="6273" w:firstLine="0"/>
        <w:jc w:val="left"/>
        <w:rPr>
          <w:sz w:val="22"/>
        </w:rPr>
      </w:pPr>
      <w:r>
        <w:rPr>
          <w:color w:val="231F20"/>
          <w:sz w:val="22"/>
        </w:rPr>
        <w:t>监理人的职责和权力本款（</w:t>
      </w:r>
      <w:r>
        <w:rPr>
          <w:color w:val="231F20"/>
          <w:spacing w:val="-33"/>
          <w:sz w:val="22"/>
        </w:rPr>
        <w:t> </w:t>
      </w:r>
      <w:r>
        <w:rPr>
          <w:color w:val="231F20"/>
          <w:sz w:val="22"/>
        </w:rPr>
        <w:t>2）项补充：</w:t>
      </w:r>
    </w:p>
    <w:p>
      <w:pPr>
        <w:pStyle w:val="BodyText"/>
        <w:spacing w:line="304" w:lineRule="auto" w:before="21"/>
        <w:ind w:right="113" w:firstLine="440"/>
      </w:pPr>
      <w:r>
        <w:rPr>
          <w:color w:val="231F20"/>
        </w:rPr>
        <w:t>监理人在行使下列权力前，必须得到发包人的批准（</w:t>
      </w:r>
      <w:r>
        <w:rPr>
          <w:color w:val="231F20"/>
          <w:spacing w:val="-8"/>
        </w:rPr>
        <w:t>注：发包人可根据具体情况规定需经批准的权力范围，以下示例供参考</w:t>
      </w:r>
      <w:r>
        <w:rPr>
          <w:color w:val="231F20"/>
          <w:spacing w:val="-83"/>
        </w:rPr>
        <w:t>）</w:t>
      </w:r>
      <w:r>
        <w:rPr>
          <w:color w:val="231F20"/>
        </w:rPr>
        <w:t>。</w:t>
      </w:r>
    </w:p>
    <w:p>
      <w:pPr>
        <w:pStyle w:val="BodyText"/>
        <w:spacing w:before="21"/>
        <w:ind w:left="557"/>
      </w:pPr>
      <w:r>
        <w:rPr>
          <w:color w:val="231F20"/>
        </w:rPr>
        <w:t>①按第 11 条规定，批准工程的分包；</w:t>
      </w:r>
    </w:p>
    <w:p>
      <w:pPr>
        <w:pStyle w:val="BodyText"/>
        <w:ind w:left="557"/>
      </w:pPr>
      <w:r>
        <w:rPr>
          <w:color w:val="231F20"/>
        </w:rPr>
        <w:t>②按第 20 条规定，确定延长完工期限；</w:t>
      </w:r>
    </w:p>
    <w:p>
      <w:pPr>
        <w:pStyle w:val="BodyText"/>
        <w:tabs>
          <w:tab w:pos="6385" w:val="left" w:leader="none"/>
        </w:tabs>
        <w:ind w:left="557"/>
      </w:pPr>
      <w:r>
        <w:rPr>
          <w:color w:val="231F20"/>
        </w:rPr>
        <w:t>③按第</w:t>
      </w:r>
      <w:r>
        <w:rPr>
          <w:color w:val="231F20"/>
          <w:spacing w:val="-1"/>
        </w:rPr>
        <w:t> </w:t>
      </w:r>
      <w:r>
        <w:rPr>
          <w:color w:val="231F20"/>
        </w:rPr>
        <w:t>39</w:t>
      </w:r>
      <w:r>
        <w:rPr>
          <w:color w:val="231F20"/>
          <w:spacing w:val="-1"/>
        </w:rPr>
        <w:t> </w:t>
      </w:r>
      <w:r>
        <w:rPr>
          <w:color w:val="231F20"/>
        </w:rPr>
        <w:t>条规定，当变更引起的合同价格增加大于</w:t>
      </w:r>
      <w:r>
        <w:rPr>
          <w:color w:val="231F20"/>
          <w:u w:val="single" w:color="231F20"/>
        </w:rPr>
        <w:t> </w:t>
        <w:tab/>
      </w:r>
      <w:r>
        <w:rPr>
          <w:color w:val="231F20"/>
        </w:rPr>
        <w:t>％时作出变更决定；</w:t>
      </w:r>
    </w:p>
    <w:p>
      <w:pPr>
        <w:spacing w:after="0"/>
        <w:sectPr>
          <w:pgSz w:w="11910" w:h="16840"/>
          <w:pgMar w:header="0" w:footer="832" w:top="1580" w:bottom="1020" w:left="1300" w:right="1300"/>
        </w:sectPr>
      </w:pPr>
    </w:p>
    <w:p>
      <w:pPr>
        <w:pStyle w:val="BodyText"/>
        <w:spacing w:before="24"/>
        <w:ind w:left="557"/>
      </w:pPr>
      <w:r>
        <w:rPr>
          <w:color w:val="231F20"/>
        </w:rPr>
        <w:t>④……</w:t>
      </w:r>
    </w:p>
    <w:p>
      <w:pPr>
        <w:pStyle w:val="BodyText"/>
        <w:ind w:left="557"/>
      </w:pPr>
      <w:r>
        <w:rPr>
          <w:color w:val="231F20"/>
        </w:rPr>
        <w:t>⑤……</w:t>
      </w:r>
    </w:p>
    <w:p>
      <w:pPr>
        <w:pStyle w:val="BodyText"/>
        <w:spacing w:line="304" w:lineRule="auto"/>
        <w:ind w:right="109" w:firstLine="440"/>
        <w:jc w:val="both"/>
      </w:pPr>
      <w:r>
        <w:rPr>
          <w:color w:val="231F20"/>
        </w:rPr>
        <w:t>尽管有以上规定，但当监理人认为出现了危及生俞、工程或毗邻财产等安全的紧急事件时，在不免除合同规定的承包人责任的情况下，监理人可以指示承包人实施为消除或减少这种危险所必须进行的工作，即使没有发包人的事先批准，承包人也应立即遵照执行。监理人应按第 39 条的规定增加相应的费用，并通知承包人。</w:t>
      </w:r>
    </w:p>
    <w:p>
      <w:pPr>
        <w:pStyle w:val="ListParagraph"/>
        <w:numPr>
          <w:ilvl w:val="0"/>
          <w:numId w:val="12"/>
        </w:numPr>
        <w:tabs>
          <w:tab w:pos="1021" w:val="left" w:leader="none"/>
          <w:tab w:pos="1022" w:val="left" w:leader="none"/>
        </w:tabs>
        <w:spacing w:line="240" w:lineRule="auto" w:before="15" w:after="0"/>
        <w:ind w:left="1021" w:right="0" w:hanging="464"/>
        <w:jc w:val="left"/>
        <w:rPr>
          <w:rFonts w:ascii="方正黑体_GBK" w:eastAsia="方正黑体_GBK" w:hint="eastAsia"/>
          <w:sz w:val="22"/>
        </w:rPr>
      </w:pPr>
      <w:r>
        <w:rPr>
          <w:rFonts w:ascii="方正黑体_GBK" w:eastAsia="方正黑体_GBK" w:hint="eastAsia"/>
          <w:color w:val="231F20"/>
          <w:sz w:val="22"/>
        </w:rPr>
        <w:t>分包</w:t>
      </w:r>
    </w:p>
    <w:p>
      <w:pPr>
        <w:pStyle w:val="ListParagraph"/>
        <w:numPr>
          <w:ilvl w:val="1"/>
          <w:numId w:val="12"/>
        </w:numPr>
        <w:tabs>
          <w:tab w:pos="1158" w:val="left" w:leader="none"/>
          <w:tab w:pos="1159" w:val="left" w:leader="none"/>
        </w:tabs>
        <w:spacing w:line="240" w:lineRule="auto" w:before="102" w:after="0"/>
        <w:ind w:left="557" w:right="0" w:firstLine="0"/>
        <w:jc w:val="left"/>
        <w:rPr>
          <w:sz w:val="22"/>
        </w:rPr>
      </w:pPr>
      <w:r>
        <w:rPr>
          <w:color w:val="231F20"/>
          <w:sz w:val="22"/>
        </w:rPr>
        <w:t>工程分包应经批准</w:t>
      </w:r>
    </w:p>
    <w:p>
      <w:pPr>
        <w:pStyle w:val="BodyText"/>
        <w:ind w:left="557"/>
      </w:pPr>
      <w:r>
        <w:rPr>
          <w:color w:val="231F20"/>
        </w:rPr>
        <w:t>若需规定分包总金额的限额时，本款应作如下修改：</w:t>
      </w:r>
    </w:p>
    <w:p>
      <w:pPr>
        <w:pStyle w:val="BodyText"/>
        <w:tabs>
          <w:tab w:pos="4077" w:val="left" w:leader="none"/>
        </w:tabs>
        <w:spacing w:line="304" w:lineRule="auto"/>
        <w:ind w:right="117" w:firstLine="440"/>
      </w:pPr>
      <w:r>
        <w:rPr>
          <w:color w:val="231F20"/>
        </w:rPr>
        <w:t>本款中的“经监理人同意的分包工程不允许分包人再分包出去”改为“经监理人同意的分包工程总金额不得大于合同价格的</w:t>
      </w:r>
      <w:r>
        <w:rPr>
          <w:color w:val="231F20"/>
          <w:u w:val="single" w:color="231F20"/>
        </w:rPr>
        <w:t> </w:t>
        <w:tab/>
      </w:r>
      <w:r>
        <w:rPr>
          <w:color w:val="231F20"/>
        </w:rPr>
        <w:t>％，且分包人不得将分包的工程再分包出去</w:t>
      </w:r>
      <w:r>
        <w:rPr>
          <w:color w:val="231F20"/>
          <w:spacing w:val="-83"/>
        </w:rPr>
        <w:t>”</w:t>
      </w:r>
      <w:r>
        <w:rPr>
          <w:color w:val="231F20"/>
        </w:rPr>
        <w:t>。</w:t>
      </w:r>
    </w:p>
    <w:p>
      <w:pPr>
        <w:pStyle w:val="ListParagraph"/>
        <w:numPr>
          <w:ilvl w:val="1"/>
          <w:numId w:val="12"/>
        </w:numPr>
        <w:tabs>
          <w:tab w:pos="1158" w:val="left" w:leader="none"/>
          <w:tab w:pos="1159" w:val="left" w:leader="none"/>
        </w:tabs>
        <w:spacing w:line="304" w:lineRule="auto" w:before="20" w:after="0"/>
        <w:ind w:left="557" w:right="6384" w:firstLine="0"/>
        <w:jc w:val="left"/>
        <w:rPr>
          <w:sz w:val="22"/>
        </w:rPr>
      </w:pPr>
      <w:r>
        <w:rPr>
          <w:color w:val="231F20"/>
          <w:sz w:val="22"/>
        </w:rPr>
        <w:t>发包人指定分包人本款（</w:t>
      </w:r>
      <w:r>
        <w:rPr>
          <w:color w:val="231F20"/>
          <w:spacing w:val="-34"/>
          <w:sz w:val="22"/>
        </w:rPr>
        <w:t> </w:t>
      </w:r>
      <w:r>
        <w:rPr>
          <w:color w:val="231F20"/>
          <w:sz w:val="22"/>
        </w:rPr>
        <w:t>1）项后补充：</w:t>
      </w:r>
    </w:p>
    <w:p>
      <w:pPr>
        <w:pStyle w:val="BodyText"/>
        <w:spacing w:before="20"/>
        <w:ind w:left="557"/>
      </w:pPr>
      <w:r>
        <w:rPr>
          <w:color w:val="231F20"/>
        </w:rPr>
        <w:t>发包人指定的分包人的分包工作内容和资质如下：</w:t>
      </w:r>
    </w:p>
    <w:p>
      <w:pPr>
        <w:pStyle w:val="BodyText"/>
        <w:ind w:left="447"/>
      </w:pPr>
      <w:r>
        <w:rPr>
          <w:color w:val="231F20"/>
        </w:rPr>
        <w:t>（ 1）分包工作内容。</w:t>
      </w:r>
    </w:p>
    <w:p>
      <w:pPr>
        <w:pStyle w:val="BodyText"/>
        <w:ind w:left="447"/>
      </w:pPr>
      <w:r>
        <w:rPr>
          <w:color w:val="231F20"/>
        </w:rPr>
        <w:t>（ 2）分包人名称及地址。</w:t>
      </w:r>
    </w:p>
    <w:p>
      <w:pPr>
        <w:pStyle w:val="BodyText"/>
        <w:ind w:left="447"/>
      </w:pPr>
      <w:r>
        <w:rPr>
          <w:color w:val="231F20"/>
        </w:rPr>
        <w:t>（ 3）分包人具有的与分包工作相类似的经验：</w:t>
      </w:r>
    </w:p>
    <w:p>
      <w:pPr>
        <w:pStyle w:val="BodyText"/>
        <w:ind w:left="557"/>
      </w:pPr>
      <w:r>
        <w:rPr>
          <w:color w:val="231F20"/>
        </w:rPr>
        <w:t>①工程名称及地点；</w:t>
      </w:r>
    </w:p>
    <w:p>
      <w:pPr>
        <w:pStyle w:val="BodyText"/>
        <w:ind w:left="557"/>
      </w:pPr>
      <w:r>
        <w:rPr>
          <w:color w:val="231F20"/>
        </w:rPr>
        <w:t>②工程主要特性；</w:t>
      </w:r>
    </w:p>
    <w:p>
      <w:pPr>
        <w:pStyle w:val="BodyText"/>
        <w:ind w:left="557"/>
      </w:pPr>
      <w:r>
        <w:rPr>
          <w:color w:val="231F20"/>
        </w:rPr>
        <w:t>③合同价格；</w:t>
      </w:r>
    </w:p>
    <w:p>
      <w:pPr>
        <w:pStyle w:val="BodyText"/>
        <w:ind w:left="557"/>
      </w:pPr>
      <w:r>
        <w:rPr>
          <w:color w:val="231F20"/>
        </w:rPr>
        <w:t>④工程完成年月；</w:t>
      </w:r>
    </w:p>
    <w:p>
      <w:pPr>
        <w:pStyle w:val="BodyText"/>
        <w:ind w:left="557"/>
      </w:pPr>
      <w:r>
        <w:rPr>
          <w:color w:val="231F20"/>
        </w:rPr>
        <w:t>⑤工作内容和履行合同情况；</w:t>
      </w:r>
    </w:p>
    <w:p>
      <w:pPr>
        <w:pStyle w:val="BodyText"/>
        <w:ind w:left="557"/>
      </w:pPr>
      <w:r>
        <w:rPr>
          <w:rFonts w:ascii="方正楷体_GBK" w:hAnsi="方正楷体_GBK" w:eastAsia="方正楷体_GBK" w:hint="eastAsia"/>
          <w:color w:val="231F20"/>
        </w:rPr>
        <w:t>⑥</w:t>
      </w:r>
      <w:r>
        <w:rPr>
          <w:color w:val="231F20"/>
        </w:rPr>
        <w:t>该工程的发包人名称及地址。</w:t>
      </w:r>
    </w:p>
    <w:p>
      <w:pPr>
        <w:pStyle w:val="BodyText"/>
        <w:tabs>
          <w:tab w:pos="1021" w:val="left" w:leader="none"/>
        </w:tabs>
        <w:spacing w:before="83"/>
        <w:ind w:left="557"/>
        <w:rPr>
          <w:rFonts w:ascii="方正黑体_GBK" w:eastAsia="方正黑体_GBK" w:hint="eastAsia"/>
        </w:rPr>
      </w:pPr>
      <w:r>
        <w:rPr>
          <w:rFonts w:ascii="方正黑体_GBK" w:eastAsia="方正黑体_GBK" w:hint="eastAsia"/>
          <w:color w:val="231F20"/>
        </w:rPr>
        <w:t>14</w:t>
        <w:tab/>
        <w:t>材料和工程设备的提供</w:t>
      </w:r>
    </w:p>
    <w:p>
      <w:pPr>
        <w:pStyle w:val="ListParagraph"/>
        <w:numPr>
          <w:ilvl w:val="1"/>
          <w:numId w:val="13"/>
        </w:numPr>
        <w:tabs>
          <w:tab w:pos="1158" w:val="left" w:leader="none"/>
          <w:tab w:pos="1159" w:val="left" w:leader="none"/>
        </w:tabs>
        <w:spacing w:line="240" w:lineRule="auto" w:before="102" w:after="0"/>
        <w:ind w:left="1158" w:right="0" w:hanging="601"/>
        <w:jc w:val="left"/>
        <w:rPr>
          <w:sz w:val="22"/>
        </w:rPr>
      </w:pPr>
      <w:r>
        <w:rPr>
          <w:color w:val="231F20"/>
          <w:sz w:val="22"/>
        </w:rPr>
        <w:t>发包人提供的工程设备</w:t>
      </w:r>
    </w:p>
    <w:p>
      <w:pPr>
        <w:pStyle w:val="BodyText"/>
        <w:ind w:left="447"/>
      </w:pPr>
      <w:r>
        <w:rPr>
          <w:color w:val="231F20"/>
        </w:rPr>
        <w:t>（ 1）发包人提供的工程设备名称、规格、数量及交货地点和计划交货日期如下表。</w:t>
      </w:r>
    </w:p>
    <w:p>
      <w:pPr>
        <w:pStyle w:val="Heading2"/>
        <w:spacing w:before="75"/>
        <w:ind w:left="2672"/>
        <w:rPr>
          <w:rFonts w:ascii="方正书宋_GBK" w:eastAsia="方正书宋_GBK" w:hint="eastAsia"/>
        </w:rPr>
      </w:pPr>
      <w:r>
        <w:rPr>
          <w:rFonts w:ascii="方正黑体_GBK" w:eastAsia="方正黑体_GBK" w:hint="eastAsia"/>
          <w:color w:val="231F20"/>
        </w:rPr>
        <w:t>发包人提供的工程设备表</w:t>
      </w:r>
      <w:r>
        <w:rPr>
          <w:rFonts w:ascii="方正书宋_GBK" w:eastAsia="方正书宋_GBK" w:hint="eastAsia"/>
          <w:color w:val="231F20"/>
        </w:rPr>
        <w:t>（参考格式）</w:t>
      </w:r>
    </w:p>
    <w:p>
      <w:pPr>
        <w:pStyle w:val="BodyText"/>
        <w:spacing w:before="11"/>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294"/>
        <w:gridCol w:w="1294"/>
        <w:gridCol w:w="1294"/>
        <w:gridCol w:w="1294"/>
        <w:gridCol w:w="1294"/>
        <w:gridCol w:w="1294"/>
        <w:gridCol w:w="1294"/>
      </w:tblGrid>
      <w:tr>
        <w:trPr>
          <w:trHeight w:val="340" w:hRule="atLeast"/>
        </w:trPr>
        <w:tc>
          <w:tcPr>
            <w:tcW w:w="1294" w:type="dxa"/>
          </w:tcPr>
          <w:p>
            <w:pPr>
              <w:pStyle w:val="TableParagraph"/>
              <w:spacing w:before="15"/>
              <w:ind w:left="444" w:right="436"/>
              <w:jc w:val="center"/>
              <w:rPr>
                <w:sz w:val="18"/>
              </w:rPr>
            </w:pPr>
            <w:r>
              <w:rPr>
                <w:color w:val="231F20"/>
                <w:sz w:val="18"/>
              </w:rPr>
              <w:t>序号</w:t>
            </w:r>
          </w:p>
        </w:tc>
        <w:tc>
          <w:tcPr>
            <w:tcW w:w="1294" w:type="dxa"/>
          </w:tcPr>
          <w:p>
            <w:pPr>
              <w:pStyle w:val="TableParagraph"/>
              <w:spacing w:before="15"/>
              <w:ind w:left="106"/>
              <w:rPr>
                <w:sz w:val="18"/>
              </w:rPr>
            </w:pPr>
            <w:r>
              <w:rPr>
                <w:color w:val="231F20"/>
                <w:sz w:val="18"/>
              </w:rPr>
              <w:t>工程设备名称</w:t>
            </w:r>
          </w:p>
        </w:tc>
        <w:tc>
          <w:tcPr>
            <w:tcW w:w="1294" w:type="dxa"/>
          </w:tcPr>
          <w:p>
            <w:pPr>
              <w:pStyle w:val="TableParagraph"/>
              <w:spacing w:before="15"/>
              <w:ind w:left="445" w:right="436"/>
              <w:jc w:val="center"/>
              <w:rPr>
                <w:sz w:val="18"/>
              </w:rPr>
            </w:pPr>
            <w:r>
              <w:rPr>
                <w:color w:val="231F20"/>
                <w:sz w:val="18"/>
              </w:rPr>
              <w:t>规格</w:t>
            </w:r>
          </w:p>
        </w:tc>
        <w:tc>
          <w:tcPr>
            <w:tcW w:w="1294" w:type="dxa"/>
          </w:tcPr>
          <w:p>
            <w:pPr>
              <w:pStyle w:val="TableParagraph"/>
              <w:spacing w:before="15"/>
              <w:ind w:left="446" w:right="436"/>
              <w:jc w:val="center"/>
              <w:rPr>
                <w:sz w:val="18"/>
              </w:rPr>
            </w:pPr>
            <w:r>
              <w:rPr>
                <w:color w:val="231F20"/>
                <w:sz w:val="18"/>
              </w:rPr>
              <w:t>数量</w:t>
            </w:r>
          </w:p>
        </w:tc>
        <w:tc>
          <w:tcPr>
            <w:tcW w:w="1294" w:type="dxa"/>
          </w:tcPr>
          <w:p>
            <w:pPr>
              <w:pStyle w:val="TableParagraph"/>
              <w:spacing w:before="15"/>
              <w:ind w:left="287"/>
              <w:rPr>
                <w:sz w:val="18"/>
              </w:rPr>
            </w:pPr>
            <w:r>
              <w:rPr>
                <w:color w:val="231F20"/>
                <w:sz w:val="18"/>
              </w:rPr>
              <w:t>交货地点</w:t>
            </w:r>
          </w:p>
        </w:tc>
        <w:tc>
          <w:tcPr>
            <w:tcW w:w="1294" w:type="dxa"/>
          </w:tcPr>
          <w:p>
            <w:pPr>
              <w:pStyle w:val="TableParagraph"/>
              <w:spacing w:before="15"/>
              <w:ind w:left="107"/>
              <w:rPr>
                <w:sz w:val="18"/>
              </w:rPr>
            </w:pPr>
            <w:r>
              <w:rPr>
                <w:color w:val="231F20"/>
                <w:sz w:val="18"/>
              </w:rPr>
              <w:t>计划交货日期</w:t>
            </w:r>
          </w:p>
        </w:tc>
        <w:tc>
          <w:tcPr>
            <w:tcW w:w="1294" w:type="dxa"/>
          </w:tcPr>
          <w:p>
            <w:pPr>
              <w:pStyle w:val="TableParagraph"/>
              <w:spacing w:before="15"/>
              <w:ind w:left="446" w:right="435"/>
              <w:jc w:val="center"/>
              <w:rPr>
                <w:sz w:val="18"/>
              </w:rPr>
            </w:pPr>
            <w:r>
              <w:rPr>
                <w:color w:val="231F20"/>
                <w:sz w:val="18"/>
              </w:rPr>
              <w:t>备注</w:t>
            </w:r>
          </w:p>
        </w:tc>
      </w:tr>
      <w:tr>
        <w:trPr>
          <w:trHeight w:val="480" w:hRule="atLeast"/>
        </w:trPr>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r>
      <w:tr>
        <w:trPr>
          <w:trHeight w:val="480" w:hRule="atLeast"/>
        </w:trPr>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r>
      <w:tr>
        <w:trPr>
          <w:trHeight w:val="480" w:hRule="atLeast"/>
        </w:trPr>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c>
          <w:tcPr>
            <w:tcW w:w="1294" w:type="dxa"/>
          </w:tcPr>
          <w:p>
            <w:pPr>
              <w:pStyle w:val="TableParagraph"/>
              <w:rPr>
                <w:rFonts w:ascii="Times New Roman"/>
                <w:sz w:val="20"/>
              </w:rPr>
            </w:pPr>
          </w:p>
        </w:tc>
      </w:tr>
    </w:tbl>
    <w:p>
      <w:pPr>
        <w:pStyle w:val="BodyText"/>
        <w:tabs>
          <w:tab w:pos="6440" w:val="left" w:leader="none"/>
        </w:tabs>
        <w:spacing w:before="91"/>
        <w:ind w:left="447"/>
      </w:pPr>
      <w:r>
        <w:rPr>
          <w:color w:val="231F20"/>
        </w:rPr>
        <w:t>（</w:t>
      </w:r>
      <w:r>
        <w:rPr>
          <w:color w:val="231F20"/>
          <w:spacing w:val="-30"/>
        </w:rPr>
        <w:t> </w:t>
      </w:r>
      <w:r>
        <w:rPr>
          <w:color w:val="231F20"/>
        </w:rPr>
        <w:t>4）本款（</w:t>
      </w:r>
      <w:r>
        <w:rPr>
          <w:color w:val="231F20"/>
          <w:spacing w:val="-30"/>
        </w:rPr>
        <w:t> </w:t>
      </w:r>
      <w:r>
        <w:rPr>
          <w:color w:val="231F20"/>
        </w:rPr>
        <w:t>4）项规定的发包人要求提前交货期限为</w:t>
      </w:r>
      <w:r>
        <w:rPr>
          <w:color w:val="231F20"/>
          <w:u w:val="single" w:color="231F20"/>
        </w:rPr>
        <w:t> </w:t>
        <w:tab/>
      </w:r>
      <w:r>
        <w:rPr>
          <w:color w:val="231F20"/>
        </w:rPr>
        <w:t>天。</w:t>
      </w:r>
    </w:p>
    <w:p>
      <w:pPr>
        <w:spacing w:after="0"/>
        <w:sectPr>
          <w:pgSz w:w="11910" w:h="16840"/>
          <w:pgMar w:header="0" w:footer="832" w:top="1580" w:bottom="1020" w:left="1300" w:right="1300"/>
        </w:sectPr>
      </w:pPr>
    </w:p>
    <w:p>
      <w:pPr>
        <w:pStyle w:val="BodyText"/>
        <w:spacing w:line="304" w:lineRule="auto" w:before="24"/>
        <w:ind w:right="199" w:firstLine="440"/>
      </w:pPr>
      <w:r>
        <w:rPr>
          <w:color w:val="231F20"/>
          <w:spacing w:val="-8"/>
        </w:rPr>
        <w:t>增加条款：若发包人根据工程的特殊情况需要指定部分材料和工程设备的供应来源时，增加下款：</w:t>
      </w:r>
    </w:p>
    <w:p>
      <w:pPr>
        <w:pStyle w:val="ListParagraph"/>
        <w:numPr>
          <w:ilvl w:val="1"/>
          <w:numId w:val="13"/>
        </w:numPr>
        <w:tabs>
          <w:tab w:pos="994" w:val="left" w:leader="none"/>
        </w:tabs>
        <w:spacing w:line="240" w:lineRule="auto" w:before="21" w:after="0"/>
        <w:ind w:left="993" w:right="0" w:hanging="436"/>
        <w:jc w:val="left"/>
        <w:rPr>
          <w:sz w:val="22"/>
        </w:rPr>
      </w:pPr>
      <w:r>
        <w:rPr>
          <w:color w:val="231F20"/>
          <w:sz w:val="22"/>
        </w:rPr>
        <w:t>发包人指定供应来源的材料和工程设备</w:t>
      </w:r>
    </w:p>
    <w:p>
      <w:pPr>
        <w:pStyle w:val="BodyText"/>
        <w:ind w:left="447"/>
      </w:pPr>
      <w:r>
        <w:rPr>
          <w:color w:val="231F20"/>
        </w:rPr>
        <w:t>（ 1）发包人指定供应来源的材料和工程设备如下表。</w:t>
      </w:r>
    </w:p>
    <w:p>
      <w:pPr>
        <w:pStyle w:val="Heading2"/>
        <w:spacing w:before="75"/>
        <w:ind w:left="1832"/>
        <w:rPr>
          <w:rFonts w:ascii="方正书宋_GBK" w:eastAsia="方正书宋_GBK" w:hint="eastAsia"/>
        </w:rPr>
      </w:pPr>
      <w:r>
        <w:rPr>
          <w:rFonts w:ascii="方正黑体_GBK" w:eastAsia="方正黑体_GBK" w:hint="eastAsia"/>
          <w:color w:val="231F20"/>
        </w:rPr>
        <w:t>发包人指定供应来源的材料和工程设备表</w:t>
      </w:r>
      <w:r>
        <w:rPr>
          <w:rFonts w:ascii="方正书宋_GBK" w:eastAsia="方正书宋_GBK" w:hint="eastAsia"/>
          <w:color w:val="231F20"/>
        </w:rPr>
        <w:t>（参考格式）</w:t>
      </w:r>
    </w:p>
    <w:p>
      <w:pPr>
        <w:pStyle w:val="BodyText"/>
        <w:spacing w:before="11"/>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510"/>
        <w:gridCol w:w="1682"/>
        <w:gridCol w:w="1338"/>
        <w:gridCol w:w="1510"/>
        <w:gridCol w:w="1510"/>
        <w:gridCol w:w="1510"/>
      </w:tblGrid>
      <w:tr>
        <w:trPr>
          <w:trHeight w:val="460" w:hRule="atLeast"/>
        </w:trPr>
        <w:tc>
          <w:tcPr>
            <w:tcW w:w="1510" w:type="dxa"/>
          </w:tcPr>
          <w:p>
            <w:pPr>
              <w:pStyle w:val="TableParagraph"/>
              <w:spacing w:before="80"/>
              <w:ind w:left="552" w:right="544"/>
              <w:jc w:val="center"/>
              <w:rPr>
                <w:sz w:val="18"/>
              </w:rPr>
            </w:pPr>
            <w:r>
              <w:rPr>
                <w:color w:val="231F20"/>
                <w:sz w:val="18"/>
              </w:rPr>
              <w:t>序号</w:t>
            </w:r>
          </w:p>
        </w:tc>
        <w:tc>
          <w:tcPr>
            <w:tcW w:w="1682" w:type="dxa"/>
          </w:tcPr>
          <w:p>
            <w:pPr>
              <w:pStyle w:val="TableParagraph"/>
              <w:spacing w:before="80"/>
              <w:ind w:left="30"/>
              <w:rPr>
                <w:sz w:val="18"/>
              </w:rPr>
            </w:pPr>
            <w:r>
              <w:rPr>
                <w:color w:val="231F20"/>
                <w:sz w:val="18"/>
              </w:rPr>
              <w:t>材料和工程设备名称</w:t>
            </w:r>
          </w:p>
        </w:tc>
        <w:tc>
          <w:tcPr>
            <w:tcW w:w="1338" w:type="dxa"/>
          </w:tcPr>
          <w:p>
            <w:pPr>
              <w:pStyle w:val="TableParagraph"/>
              <w:spacing w:before="80"/>
              <w:ind w:left="469" w:right="459"/>
              <w:jc w:val="center"/>
              <w:rPr>
                <w:sz w:val="18"/>
              </w:rPr>
            </w:pPr>
            <w:r>
              <w:rPr>
                <w:color w:val="231F20"/>
                <w:sz w:val="18"/>
              </w:rPr>
              <w:t>规格</w:t>
            </w:r>
          </w:p>
        </w:tc>
        <w:tc>
          <w:tcPr>
            <w:tcW w:w="1510" w:type="dxa"/>
          </w:tcPr>
          <w:p>
            <w:pPr>
              <w:pStyle w:val="TableParagraph"/>
              <w:spacing w:before="80"/>
              <w:ind w:left="553" w:right="542"/>
              <w:jc w:val="center"/>
              <w:rPr>
                <w:sz w:val="18"/>
              </w:rPr>
            </w:pPr>
            <w:r>
              <w:rPr>
                <w:color w:val="231F20"/>
                <w:sz w:val="18"/>
              </w:rPr>
              <w:t>数量</w:t>
            </w:r>
          </w:p>
        </w:tc>
        <w:tc>
          <w:tcPr>
            <w:tcW w:w="1510" w:type="dxa"/>
          </w:tcPr>
          <w:p>
            <w:pPr>
              <w:pStyle w:val="TableParagraph"/>
              <w:spacing w:before="80"/>
              <w:ind w:left="216"/>
              <w:rPr>
                <w:sz w:val="18"/>
              </w:rPr>
            </w:pPr>
            <w:r>
              <w:rPr>
                <w:color w:val="231F20"/>
                <w:sz w:val="18"/>
              </w:rPr>
              <w:t>供货厂家名称</w:t>
            </w:r>
          </w:p>
        </w:tc>
        <w:tc>
          <w:tcPr>
            <w:tcW w:w="1510" w:type="dxa"/>
          </w:tcPr>
          <w:p>
            <w:pPr>
              <w:pStyle w:val="TableParagraph"/>
              <w:spacing w:before="80"/>
              <w:ind w:left="553" w:right="541"/>
              <w:jc w:val="center"/>
              <w:rPr>
                <w:sz w:val="18"/>
              </w:rPr>
            </w:pPr>
            <w:r>
              <w:rPr>
                <w:color w:val="231F20"/>
                <w:sz w:val="18"/>
              </w:rPr>
              <w:t>备注</w:t>
            </w:r>
          </w:p>
        </w:tc>
      </w:tr>
      <w:tr>
        <w:trPr>
          <w:trHeight w:val="520" w:hRule="atLeast"/>
        </w:trPr>
        <w:tc>
          <w:tcPr>
            <w:tcW w:w="1510" w:type="dxa"/>
          </w:tcPr>
          <w:p>
            <w:pPr>
              <w:pStyle w:val="TableParagraph"/>
              <w:rPr>
                <w:rFonts w:ascii="Times New Roman"/>
                <w:sz w:val="20"/>
              </w:rPr>
            </w:pPr>
          </w:p>
        </w:tc>
        <w:tc>
          <w:tcPr>
            <w:tcW w:w="1682" w:type="dxa"/>
          </w:tcPr>
          <w:p>
            <w:pPr>
              <w:pStyle w:val="TableParagraph"/>
              <w:rPr>
                <w:rFonts w:ascii="Times New Roman"/>
                <w:sz w:val="20"/>
              </w:rPr>
            </w:pPr>
          </w:p>
        </w:tc>
        <w:tc>
          <w:tcPr>
            <w:tcW w:w="1338"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r>
      <w:tr>
        <w:trPr>
          <w:trHeight w:val="520" w:hRule="atLeast"/>
        </w:trPr>
        <w:tc>
          <w:tcPr>
            <w:tcW w:w="1510" w:type="dxa"/>
          </w:tcPr>
          <w:p>
            <w:pPr>
              <w:pStyle w:val="TableParagraph"/>
              <w:rPr>
                <w:rFonts w:ascii="Times New Roman"/>
                <w:sz w:val="20"/>
              </w:rPr>
            </w:pPr>
          </w:p>
        </w:tc>
        <w:tc>
          <w:tcPr>
            <w:tcW w:w="1682" w:type="dxa"/>
          </w:tcPr>
          <w:p>
            <w:pPr>
              <w:pStyle w:val="TableParagraph"/>
              <w:rPr>
                <w:rFonts w:ascii="Times New Roman"/>
                <w:sz w:val="20"/>
              </w:rPr>
            </w:pPr>
          </w:p>
        </w:tc>
        <w:tc>
          <w:tcPr>
            <w:tcW w:w="1338"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r>
      <w:tr>
        <w:trPr>
          <w:trHeight w:val="520" w:hRule="atLeast"/>
        </w:trPr>
        <w:tc>
          <w:tcPr>
            <w:tcW w:w="1510" w:type="dxa"/>
          </w:tcPr>
          <w:p>
            <w:pPr>
              <w:pStyle w:val="TableParagraph"/>
              <w:rPr>
                <w:rFonts w:ascii="Times New Roman"/>
                <w:sz w:val="20"/>
              </w:rPr>
            </w:pPr>
          </w:p>
        </w:tc>
        <w:tc>
          <w:tcPr>
            <w:tcW w:w="1682" w:type="dxa"/>
          </w:tcPr>
          <w:p>
            <w:pPr>
              <w:pStyle w:val="TableParagraph"/>
              <w:rPr>
                <w:rFonts w:ascii="Times New Roman"/>
                <w:sz w:val="20"/>
              </w:rPr>
            </w:pPr>
          </w:p>
        </w:tc>
        <w:tc>
          <w:tcPr>
            <w:tcW w:w="1338"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r>
    </w:tbl>
    <w:p>
      <w:pPr>
        <w:pStyle w:val="BodyText"/>
        <w:spacing w:line="304" w:lineRule="auto" w:before="91"/>
        <w:ind w:right="215" w:firstLine="330"/>
        <w:jc w:val="both"/>
      </w:pPr>
      <w:r>
        <w:rPr>
          <w:color w:val="231F20"/>
        </w:rPr>
        <w:t>（ 2）承包人应按合同进度计划及监理人指定的格式和期限，提交上述材料和工程设备的需用计划，经监理人批准后，由承包人与指定的供货厂家签订供货协议，并应将协议副本提交给监理人。</w:t>
      </w:r>
    </w:p>
    <w:p>
      <w:pPr>
        <w:pStyle w:val="BodyText"/>
        <w:spacing w:line="304" w:lineRule="auto" w:before="21"/>
        <w:ind w:right="93" w:firstLine="330"/>
      </w:pPr>
      <w:r>
        <w:rPr>
          <w:color w:val="231F20"/>
        </w:rPr>
        <w:t>（ 3）除合同另有规定外，承包人应负责上述材料和工程设备的采购、验收、运输和保管， 并承担上述工作所需的全部费用。</w:t>
      </w:r>
    </w:p>
    <w:p>
      <w:pPr>
        <w:pStyle w:val="BodyText"/>
        <w:spacing w:line="304" w:lineRule="auto" w:before="21"/>
        <w:ind w:right="215" w:firstLine="330"/>
        <w:jc w:val="both"/>
      </w:pPr>
      <w:r>
        <w:rPr>
          <w:color w:val="231F20"/>
        </w:rPr>
        <w:t>（ 4）上述指定的供货厂家不能按供货协议规定的规格、数量、质量或时间要求提供材料和工程设备时，由发包人和承包人共同与供货厂家交涉，若由此导致费用增加和工期延误，应依据其原因由发包人和承包人分担各自的责任。</w:t>
      </w:r>
    </w:p>
    <w:p>
      <w:pPr>
        <w:pStyle w:val="ListParagraph"/>
        <w:numPr>
          <w:ilvl w:val="0"/>
          <w:numId w:val="13"/>
        </w:numPr>
        <w:tabs>
          <w:tab w:pos="1021" w:val="left" w:leader="none"/>
          <w:tab w:pos="1022" w:val="left" w:leader="none"/>
        </w:tabs>
        <w:spacing w:line="240" w:lineRule="auto" w:before="14" w:after="0"/>
        <w:ind w:left="1021" w:right="0" w:hanging="464"/>
        <w:jc w:val="left"/>
        <w:rPr>
          <w:rFonts w:ascii="方正黑体_GBK" w:eastAsia="方正黑体_GBK" w:hint="eastAsia"/>
          <w:color w:val="231F20"/>
          <w:sz w:val="22"/>
        </w:rPr>
      </w:pPr>
      <w:r>
        <w:rPr>
          <w:rFonts w:ascii="方正黑体_GBK" w:eastAsia="方正黑体_GBK" w:hint="eastAsia"/>
          <w:color w:val="231F20"/>
          <w:sz w:val="22"/>
        </w:rPr>
        <w:t>承包人材料和设备的管理</w:t>
      </w:r>
    </w:p>
    <w:p>
      <w:pPr>
        <w:pStyle w:val="BodyText"/>
        <w:tabs>
          <w:tab w:pos="1158" w:val="left" w:leader="none"/>
        </w:tabs>
        <w:spacing w:before="101"/>
        <w:ind w:left="557"/>
      </w:pPr>
      <w:r>
        <w:rPr>
          <w:color w:val="231F20"/>
        </w:rPr>
        <w:t>15.4</w:t>
        <w:tab/>
        <w:t>承包人租用的施工设备</w:t>
      </w:r>
    </w:p>
    <w:p>
      <w:pPr>
        <w:pStyle w:val="BodyText"/>
        <w:ind w:left="557"/>
      </w:pPr>
      <w:r>
        <w:rPr>
          <w:color w:val="231F20"/>
        </w:rPr>
        <w:t>删去本款（ 1）项全文，并代之以：</w:t>
      </w:r>
    </w:p>
    <w:p>
      <w:pPr>
        <w:pStyle w:val="BodyText"/>
        <w:ind w:left="447"/>
      </w:pPr>
      <w:r>
        <w:rPr>
          <w:color w:val="231F20"/>
        </w:rPr>
        <w:t>（ 1）发包人可向承包人出租下表所列的施工设备。</w:t>
      </w:r>
    </w:p>
    <w:p>
      <w:pPr>
        <w:pStyle w:val="Heading2"/>
        <w:spacing w:before="75"/>
        <w:ind w:left="2054" w:right="2035"/>
        <w:jc w:val="center"/>
        <w:rPr>
          <w:rFonts w:ascii="方正书宋_GBK" w:eastAsia="方正书宋_GBK" w:hint="eastAsia"/>
        </w:rPr>
      </w:pPr>
      <w:r>
        <w:rPr>
          <w:rFonts w:ascii="方正黑体_GBK" w:eastAsia="方正黑体_GBK" w:hint="eastAsia"/>
          <w:color w:val="231F20"/>
        </w:rPr>
        <w:t>发包人可出租给承包人的施工设备表</w:t>
      </w:r>
      <w:r>
        <w:rPr>
          <w:rFonts w:ascii="方正书宋_GBK" w:eastAsia="方正书宋_GBK" w:hint="eastAsia"/>
          <w:color w:val="231F20"/>
        </w:rPr>
        <w:t>（参考格式）</w:t>
      </w:r>
    </w:p>
    <w:p>
      <w:pPr>
        <w:pStyle w:val="BodyText"/>
        <w:spacing w:before="11"/>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510"/>
        <w:gridCol w:w="1510"/>
        <w:gridCol w:w="1510"/>
        <w:gridCol w:w="1510"/>
        <w:gridCol w:w="1510"/>
        <w:gridCol w:w="1510"/>
      </w:tblGrid>
      <w:tr>
        <w:trPr>
          <w:trHeight w:val="540" w:hRule="atLeast"/>
        </w:trPr>
        <w:tc>
          <w:tcPr>
            <w:tcW w:w="1510" w:type="dxa"/>
          </w:tcPr>
          <w:p>
            <w:pPr>
              <w:pStyle w:val="TableParagraph"/>
              <w:spacing w:before="119"/>
              <w:ind w:left="394"/>
              <w:rPr>
                <w:sz w:val="18"/>
              </w:rPr>
            </w:pPr>
            <w:r>
              <w:rPr>
                <w:color w:val="231F20"/>
                <w:sz w:val="18"/>
              </w:rPr>
              <w:t>设备名称</w:t>
            </w:r>
          </w:p>
        </w:tc>
        <w:tc>
          <w:tcPr>
            <w:tcW w:w="1510" w:type="dxa"/>
          </w:tcPr>
          <w:p>
            <w:pPr>
              <w:pStyle w:val="TableParagraph"/>
              <w:spacing w:before="119"/>
              <w:ind w:left="304"/>
              <w:rPr>
                <w:sz w:val="18"/>
              </w:rPr>
            </w:pPr>
            <w:r>
              <w:rPr>
                <w:color w:val="231F20"/>
                <w:sz w:val="18"/>
              </w:rPr>
              <w:t>型号及规格</w:t>
            </w:r>
          </w:p>
        </w:tc>
        <w:tc>
          <w:tcPr>
            <w:tcW w:w="1510" w:type="dxa"/>
          </w:tcPr>
          <w:p>
            <w:pPr>
              <w:pStyle w:val="TableParagraph"/>
              <w:spacing w:before="119"/>
              <w:ind w:left="394"/>
              <w:rPr>
                <w:sz w:val="18"/>
              </w:rPr>
            </w:pPr>
            <w:r>
              <w:rPr>
                <w:color w:val="231F20"/>
                <w:sz w:val="18"/>
              </w:rPr>
              <w:t>设备状况</w:t>
            </w:r>
          </w:p>
        </w:tc>
        <w:tc>
          <w:tcPr>
            <w:tcW w:w="1510" w:type="dxa"/>
          </w:tcPr>
          <w:p>
            <w:pPr>
              <w:pStyle w:val="TableParagraph"/>
              <w:spacing w:before="119"/>
              <w:ind w:left="551" w:right="544"/>
              <w:jc w:val="center"/>
              <w:rPr>
                <w:sz w:val="18"/>
              </w:rPr>
            </w:pPr>
            <w:r>
              <w:rPr>
                <w:color w:val="231F20"/>
                <w:sz w:val="18"/>
              </w:rPr>
              <w:t>数量</w:t>
            </w:r>
          </w:p>
        </w:tc>
        <w:tc>
          <w:tcPr>
            <w:tcW w:w="1510" w:type="dxa"/>
          </w:tcPr>
          <w:p>
            <w:pPr>
              <w:pStyle w:val="TableParagraph"/>
              <w:spacing w:before="119"/>
              <w:ind w:left="393"/>
              <w:rPr>
                <w:sz w:val="18"/>
              </w:rPr>
            </w:pPr>
            <w:r>
              <w:rPr>
                <w:color w:val="231F20"/>
                <w:sz w:val="18"/>
              </w:rPr>
              <w:t>出租地点</w:t>
            </w:r>
          </w:p>
        </w:tc>
        <w:tc>
          <w:tcPr>
            <w:tcW w:w="1510" w:type="dxa"/>
          </w:tcPr>
          <w:p>
            <w:pPr>
              <w:pStyle w:val="TableParagraph"/>
              <w:spacing w:line="230" w:lineRule="auto"/>
              <w:ind w:left="213" w:right="7" w:hanging="180"/>
              <w:rPr>
                <w:sz w:val="18"/>
              </w:rPr>
            </w:pPr>
            <w:r>
              <w:rPr>
                <w:color w:val="231F20"/>
                <w:sz w:val="18"/>
              </w:rPr>
              <w:t>每台租赁价格（填入计价单位）</w:t>
            </w:r>
          </w:p>
        </w:tc>
      </w:tr>
      <w:tr>
        <w:trPr>
          <w:trHeight w:val="480" w:hRule="atLeast"/>
        </w:trPr>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r>
      <w:tr>
        <w:trPr>
          <w:trHeight w:val="480" w:hRule="atLeast"/>
        </w:trPr>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r>
      <w:tr>
        <w:trPr>
          <w:trHeight w:val="480" w:hRule="atLeast"/>
        </w:trPr>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c>
          <w:tcPr>
            <w:tcW w:w="1510" w:type="dxa"/>
          </w:tcPr>
          <w:p>
            <w:pPr>
              <w:pStyle w:val="TableParagraph"/>
              <w:rPr>
                <w:rFonts w:ascii="Times New Roman"/>
                <w:sz w:val="20"/>
              </w:rPr>
            </w:pPr>
          </w:p>
        </w:tc>
      </w:tr>
    </w:tbl>
    <w:p>
      <w:pPr>
        <w:spacing w:before="116"/>
        <w:ind w:left="668" w:right="0" w:firstLine="0"/>
        <w:jc w:val="left"/>
        <w:rPr>
          <w:rFonts w:ascii="方正楷体_GBK" w:eastAsia="方正楷体_GBK" w:hint="eastAsia"/>
          <w:sz w:val="16"/>
        </w:rPr>
      </w:pPr>
      <w:r>
        <w:rPr>
          <w:rFonts w:ascii="方正楷体_GBK" w:eastAsia="方正楷体_GBK" w:hint="eastAsia"/>
          <w:color w:val="231F20"/>
          <w:sz w:val="16"/>
        </w:rPr>
        <w:t>注：设备状况栏内应填写该设备的新旧程度，如系旧设备应写明设备的购进时间、已使用的小时数和最近一次的大修时间。</w:t>
      </w:r>
    </w:p>
    <w:p>
      <w:pPr>
        <w:pStyle w:val="ListParagraph"/>
        <w:numPr>
          <w:ilvl w:val="0"/>
          <w:numId w:val="14"/>
        </w:numPr>
        <w:tabs>
          <w:tab w:pos="1021" w:val="left" w:leader="none"/>
          <w:tab w:pos="1022" w:val="left" w:leader="none"/>
        </w:tabs>
        <w:spacing w:line="240" w:lineRule="auto" w:before="132" w:after="0"/>
        <w:ind w:left="1021" w:right="0" w:hanging="464"/>
        <w:jc w:val="left"/>
        <w:rPr>
          <w:rFonts w:ascii="方正黑体_GBK" w:eastAsia="方正黑体_GBK" w:hint="eastAsia"/>
          <w:sz w:val="22"/>
        </w:rPr>
      </w:pPr>
      <w:r>
        <w:rPr>
          <w:rFonts w:ascii="方正黑体_GBK" w:eastAsia="方正黑体_GBK" w:hint="eastAsia"/>
          <w:color w:val="231F20"/>
          <w:sz w:val="22"/>
        </w:rPr>
        <w:t>进度计划</w:t>
      </w:r>
    </w:p>
    <w:p>
      <w:pPr>
        <w:pStyle w:val="BodyText"/>
        <w:tabs>
          <w:tab w:pos="1158" w:val="left" w:leader="none"/>
        </w:tabs>
        <w:spacing w:line="304" w:lineRule="auto" w:before="102"/>
        <w:ind w:left="557" w:right="6484"/>
      </w:pPr>
      <w:r>
        <w:rPr>
          <w:color w:val="231F20"/>
        </w:rPr>
        <w:t>17.4</w:t>
        <w:tab/>
        <w:t>提交资金流估算表本款补充下表。</w:t>
      </w:r>
    </w:p>
    <w:p>
      <w:pPr>
        <w:spacing w:after="0" w:line="304" w:lineRule="auto"/>
        <w:sectPr>
          <w:pgSz w:w="11910" w:h="16840"/>
          <w:pgMar w:header="0" w:footer="832" w:top="1580" w:bottom="1020" w:left="1300" w:right="1200"/>
        </w:sectPr>
      </w:pPr>
    </w:p>
    <w:p>
      <w:pPr>
        <w:pStyle w:val="Heading2"/>
        <w:tabs>
          <w:tab w:pos="7112" w:val="left" w:leader="none"/>
          <w:tab w:pos="9272" w:val="left" w:leader="none"/>
        </w:tabs>
        <w:spacing w:before="10"/>
        <w:ind w:left="3152"/>
        <w:rPr>
          <w:rFonts w:ascii="Times New Roman" w:eastAsia="Times New Roman"/>
        </w:rPr>
      </w:pPr>
      <w:r>
        <w:rPr>
          <w:rFonts w:ascii="方正黑体_GBK" w:eastAsia="方正黑体_GBK" w:hint="eastAsia"/>
          <w:color w:val="231F20"/>
        </w:rPr>
        <w:t>资金流估算表</w:t>
      </w:r>
      <w:r>
        <w:rPr>
          <w:rFonts w:ascii="方正书宋_GBK" w:eastAsia="方正书宋_GBK" w:hint="eastAsia"/>
          <w:color w:val="231F20"/>
        </w:rPr>
        <w:t>（参考格式）</w:t>
        <w:tab/>
        <w:t>金额单位</w:t>
      </w:r>
      <w:r>
        <w:rPr>
          <w:rFonts w:ascii="Times New Roman" w:eastAsia="Times New Roman"/>
          <w:color w:val="231F20"/>
          <w:u w:val="single" w:color="231F20"/>
        </w:rPr>
        <w:t> </w:t>
        <w:tab/>
      </w:r>
    </w:p>
    <w:p>
      <w:pPr>
        <w:pStyle w:val="BodyText"/>
        <w:spacing w:before="7" w:after="1"/>
        <w:ind w:left="0"/>
        <w:rPr>
          <w:rFonts w:ascii="Times New Roman"/>
          <w:sz w:val="16"/>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133"/>
        <w:gridCol w:w="1133"/>
        <w:gridCol w:w="1133"/>
        <w:gridCol w:w="1133"/>
        <w:gridCol w:w="1133"/>
        <w:gridCol w:w="1133"/>
        <w:gridCol w:w="1133"/>
        <w:gridCol w:w="1133"/>
      </w:tblGrid>
      <w:tr>
        <w:trPr>
          <w:trHeight w:val="660" w:hRule="atLeast"/>
        </w:trPr>
        <w:tc>
          <w:tcPr>
            <w:tcW w:w="1133" w:type="dxa"/>
          </w:tcPr>
          <w:p>
            <w:pPr>
              <w:pStyle w:val="TableParagraph"/>
              <w:spacing w:before="179"/>
              <w:ind w:left="8"/>
              <w:jc w:val="center"/>
              <w:rPr>
                <w:sz w:val="18"/>
              </w:rPr>
            </w:pPr>
            <w:r>
              <w:rPr>
                <w:color w:val="231F20"/>
                <w:sz w:val="18"/>
              </w:rPr>
              <w:t>年</w:t>
            </w:r>
          </w:p>
        </w:tc>
        <w:tc>
          <w:tcPr>
            <w:tcW w:w="1133" w:type="dxa"/>
          </w:tcPr>
          <w:p>
            <w:pPr>
              <w:pStyle w:val="TableParagraph"/>
              <w:spacing w:before="179"/>
              <w:ind w:left="7"/>
              <w:jc w:val="center"/>
              <w:rPr>
                <w:sz w:val="18"/>
              </w:rPr>
            </w:pPr>
            <w:r>
              <w:rPr>
                <w:color w:val="231F20"/>
                <w:sz w:val="18"/>
              </w:rPr>
              <w:t>月</w:t>
            </w:r>
          </w:p>
        </w:tc>
        <w:tc>
          <w:tcPr>
            <w:tcW w:w="1133" w:type="dxa"/>
          </w:tcPr>
          <w:p>
            <w:pPr>
              <w:pStyle w:val="TableParagraph"/>
              <w:spacing w:line="230" w:lineRule="auto" w:before="60"/>
              <w:ind w:left="295" w:right="88" w:hanging="180"/>
              <w:rPr>
                <w:sz w:val="18"/>
              </w:rPr>
            </w:pPr>
            <w:r>
              <w:rPr>
                <w:color w:val="231F20"/>
                <w:sz w:val="18"/>
              </w:rPr>
              <w:t>工程和材料预付款</w:t>
            </w:r>
          </w:p>
        </w:tc>
        <w:tc>
          <w:tcPr>
            <w:tcW w:w="1133" w:type="dxa"/>
          </w:tcPr>
          <w:p>
            <w:pPr>
              <w:pStyle w:val="TableParagraph"/>
              <w:spacing w:line="230" w:lineRule="auto" w:before="60"/>
              <w:ind w:left="385" w:right="88" w:hanging="270"/>
              <w:rPr>
                <w:sz w:val="18"/>
              </w:rPr>
            </w:pPr>
            <w:r>
              <w:rPr>
                <w:color w:val="231F20"/>
                <w:sz w:val="18"/>
              </w:rPr>
              <w:t>完成工作量付款</w:t>
            </w:r>
          </w:p>
        </w:tc>
        <w:tc>
          <w:tcPr>
            <w:tcW w:w="1133" w:type="dxa"/>
          </w:tcPr>
          <w:p>
            <w:pPr>
              <w:pStyle w:val="TableParagraph"/>
              <w:spacing w:before="179"/>
              <w:ind w:left="114"/>
              <w:rPr>
                <w:sz w:val="18"/>
              </w:rPr>
            </w:pPr>
            <w:r>
              <w:rPr>
                <w:color w:val="231F20"/>
                <w:sz w:val="18"/>
              </w:rPr>
              <w:t>保留金扣留</w:t>
            </w:r>
          </w:p>
        </w:tc>
        <w:tc>
          <w:tcPr>
            <w:tcW w:w="1133" w:type="dxa"/>
          </w:tcPr>
          <w:p>
            <w:pPr>
              <w:pStyle w:val="TableParagraph"/>
              <w:spacing w:before="179"/>
              <w:ind w:left="114"/>
              <w:rPr>
                <w:sz w:val="18"/>
              </w:rPr>
            </w:pPr>
            <w:r>
              <w:rPr>
                <w:color w:val="231F20"/>
                <w:sz w:val="18"/>
              </w:rPr>
              <w:t>预付款扣还</w:t>
            </w:r>
          </w:p>
        </w:tc>
        <w:tc>
          <w:tcPr>
            <w:tcW w:w="1133" w:type="dxa"/>
          </w:tcPr>
          <w:p>
            <w:pPr>
              <w:pStyle w:val="TableParagraph"/>
              <w:spacing w:before="179"/>
              <w:ind w:left="364" w:right="359"/>
              <w:jc w:val="center"/>
              <w:rPr>
                <w:sz w:val="18"/>
              </w:rPr>
            </w:pPr>
            <w:r>
              <w:rPr>
                <w:color w:val="231F20"/>
                <w:sz w:val="18"/>
              </w:rPr>
              <w:t>其他</w:t>
            </w:r>
          </w:p>
        </w:tc>
        <w:tc>
          <w:tcPr>
            <w:tcW w:w="1133" w:type="dxa"/>
          </w:tcPr>
          <w:p>
            <w:pPr>
              <w:pStyle w:val="TableParagraph"/>
              <w:spacing w:before="179"/>
              <w:ind w:left="204"/>
              <w:rPr>
                <w:sz w:val="18"/>
              </w:rPr>
            </w:pPr>
            <w:r>
              <w:rPr>
                <w:color w:val="231F20"/>
                <w:sz w:val="18"/>
              </w:rPr>
              <w:t>应得付款</w:t>
            </w:r>
          </w:p>
        </w:tc>
      </w:tr>
      <w:tr>
        <w:trPr>
          <w:trHeight w:val="520" w:hRule="atLeast"/>
        </w:trPr>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r>
      <w:tr>
        <w:trPr>
          <w:trHeight w:val="520" w:hRule="atLeast"/>
        </w:trPr>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r>
      <w:tr>
        <w:trPr>
          <w:trHeight w:val="520" w:hRule="atLeast"/>
        </w:trPr>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c>
          <w:tcPr>
            <w:tcW w:w="1133" w:type="dxa"/>
          </w:tcPr>
          <w:p>
            <w:pPr>
              <w:pStyle w:val="TableParagraph"/>
              <w:rPr>
                <w:rFonts w:ascii="Times New Roman"/>
                <w:sz w:val="20"/>
              </w:rPr>
            </w:pPr>
          </w:p>
        </w:tc>
      </w:tr>
    </w:tbl>
    <w:p>
      <w:pPr>
        <w:pStyle w:val="ListParagraph"/>
        <w:numPr>
          <w:ilvl w:val="0"/>
          <w:numId w:val="14"/>
        </w:numPr>
        <w:tabs>
          <w:tab w:pos="1021" w:val="left" w:leader="none"/>
          <w:tab w:pos="1022" w:val="left" w:leader="none"/>
        </w:tabs>
        <w:spacing w:line="240" w:lineRule="auto" w:before="85" w:after="0"/>
        <w:ind w:left="1021" w:right="0" w:hanging="464"/>
        <w:jc w:val="left"/>
        <w:rPr>
          <w:rFonts w:ascii="方正黑体_GBK" w:eastAsia="方正黑体_GBK" w:hint="eastAsia"/>
          <w:sz w:val="22"/>
        </w:rPr>
      </w:pPr>
      <w:r>
        <w:rPr>
          <w:rFonts w:ascii="方正黑体_GBK" w:eastAsia="方正黑体_GBK" w:hint="eastAsia"/>
          <w:color w:val="231F20"/>
          <w:sz w:val="22"/>
        </w:rPr>
        <w:t>工程开工和完工</w:t>
      </w:r>
    </w:p>
    <w:p>
      <w:pPr>
        <w:pStyle w:val="BodyText"/>
        <w:tabs>
          <w:tab w:pos="1158" w:val="left" w:leader="none"/>
        </w:tabs>
        <w:spacing w:before="102"/>
        <w:ind w:left="557"/>
      </w:pPr>
      <w:r>
        <w:rPr>
          <w:color w:val="231F20"/>
        </w:rPr>
        <w:t>18.1</w:t>
        <w:tab/>
        <w:t>开工通知</w:t>
      </w:r>
    </w:p>
    <w:p>
      <w:pPr>
        <w:pStyle w:val="BodyText"/>
        <w:tabs>
          <w:tab w:pos="2537" w:val="left" w:leader="none"/>
          <w:tab w:pos="3197" w:val="left" w:leader="none"/>
          <w:tab w:pos="3857" w:val="left" w:leader="none"/>
        </w:tabs>
        <w:ind w:left="557"/>
      </w:pPr>
      <w:r>
        <w:rPr>
          <w:color w:val="231F20"/>
        </w:rPr>
        <w:t>监理人应在</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日前发出开工通知。</w:t>
      </w:r>
    </w:p>
    <w:p>
      <w:pPr>
        <w:pStyle w:val="BodyText"/>
        <w:tabs>
          <w:tab w:pos="1158" w:val="left" w:leader="none"/>
        </w:tabs>
        <w:ind w:left="557"/>
      </w:pPr>
      <w:r>
        <w:rPr>
          <w:color w:val="231F20"/>
        </w:rPr>
        <w:t>18.4</w:t>
        <w:tab/>
        <w:t>完工日期</w:t>
      </w:r>
    </w:p>
    <w:p>
      <w:pPr>
        <w:pStyle w:val="BodyText"/>
        <w:ind w:left="557"/>
      </w:pPr>
      <w:r>
        <w:rPr>
          <w:color w:val="231F20"/>
        </w:rPr>
        <w:t>本合同全部工程、单位工程和部分工程的要求完工日期如下表。</w:t>
      </w:r>
    </w:p>
    <w:p>
      <w:pPr>
        <w:pStyle w:val="Heading2"/>
        <w:spacing w:before="75"/>
        <w:ind w:left="3152"/>
        <w:rPr>
          <w:rFonts w:ascii="方正书宋_GBK" w:eastAsia="方正书宋_GBK" w:hint="eastAsia"/>
        </w:rPr>
      </w:pPr>
      <w:r>
        <w:rPr>
          <w:rFonts w:ascii="方正黑体_GBK" w:eastAsia="方正黑体_GBK" w:hint="eastAsia"/>
          <w:color w:val="231F20"/>
        </w:rPr>
        <w:t>要求完工日期表</w:t>
      </w:r>
      <w:r>
        <w:rPr>
          <w:rFonts w:ascii="方正书宋_GBK" w:eastAsia="方正书宋_GBK" w:hint="eastAsia"/>
          <w:color w:val="231F20"/>
        </w:rPr>
        <w:t>（参考格式）</w:t>
      </w:r>
    </w:p>
    <w:p>
      <w:pPr>
        <w:pStyle w:val="BodyText"/>
        <w:spacing w:before="11"/>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3021"/>
        <w:gridCol w:w="3021"/>
        <w:gridCol w:w="3021"/>
      </w:tblGrid>
      <w:tr>
        <w:trPr>
          <w:trHeight w:val="400" w:hRule="atLeast"/>
        </w:trPr>
        <w:tc>
          <w:tcPr>
            <w:tcW w:w="3021" w:type="dxa"/>
          </w:tcPr>
          <w:p>
            <w:pPr>
              <w:pStyle w:val="TableParagraph"/>
              <w:spacing w:before="54"/>
              <w:ind w:left="1309" w:right="1301"/>
              <w:jc w:val="center"/>
              <w:rPr>
                <w:sz w:val="18"/>
              </w:rPr>
            </w:pPr>
            <w:r>
              <w:rPr>
                <w:color w:val="231F20"/>
                <w:sz w:val="18"/>
              </w:rPr>
              <w:t>序号</w:t>
            </w:r>
          </w:p>
        </w:tc>
        <w:tc>
          <w:tcPr>
            <w:tcW w:w="3021" w:type="dxa"/>
          </w:tcPr>
          <w:p>
            <w:pPr>
              <w:pStyle w:val="TableParagraph"/>
              <w:spacing w:before="54"/>
              <w:ind w:left="969"/>
              <w:rPr>
                <w:sz w:val="18"/>
              </w:rPr>
            </w:pPr>
            <w:r>
              <w:rPr>
                <w:color w:val="231F20"/>
                <w:sz w:val="18"/>
              </w:rPr>
              <w:t>项目及其说明</w:t>
            </w:r>
          </w:p>
        </w:tc>
        <w:tc>
          <w:tcPr>
            <w:tcW w:w="3021" w:type="dxa"/>
          </w:tcPr>
          <w:p>
            <w:pPr>
              <w:pStyle w:val="TableParagraph"/>
              <w:spacing w:before="54"/>
              <w:ind w:left="969"/>
              <w:rPr>
                <w:sz w:val="18"/>
              </w:rPr>
            </w:pPr>
            <w:r>
              <w:rPr>
                <w:color w:val="231F20"/>
                <w:sz w:val="18"/>
              </w:rPr>
              <w:t>要求完工日期</w:t>
            </w:r>
          </w:p>
        </w:tc>
      </w:tr>
      <w:tr>
        <w:trPr>
          <w:trHeight w:val="540" w:hRule="atLeast"/>
        </w:trPr>
        <w:tc>
          <w:tcPr>
            <w:tcW w:w="3021" w:type="dxa"/>
          </w:tcPr>
          <w:p>
            <w:pPr>
              <w:pStyle w:val="TableParagraph"/>
              <w:rPr>
                <w:rFonts w:ascii="Times New Roman"/>
                <w:sz w:val="20"/>
              </w:rPr>
            </w:pPr>
          </w:p>
        </w:tc>
        <w:tc>
          <w:tcPr>
            <w:tcW w:w="3021" w:type="dxa"/>
          </w:tcPr>
          <w:p>
            <w:pPr>
              <w:pStyle w:val="TableParagraph"/>
              <w:rPr>
                <w:rFonts w:ascii="Times New Roman"/>
                <w:sz w:val="20"/>
              </w:rPr>
            </w:pPr>
          </w:p>
        </w:tc>
        <w:tc>
          <w:tcPr>
            <w:tcW w:w="3021" w:type="dxa"/>
          </w:tcPr>
          <w:p>
            <w:pPr>
              <w:pStyle w:val="TableParagraph"/>
              <w:rPr>
                <w:rFonts w:ascii="Times New Roman"/>
                <w:sz w:val="20"/>
              </w:rPr>
            </w:pPr>
          </w:p>
        </w:tc>
      </w:tr>
      <w:tr>
        <w:trPr>
          <w:trHeight w:val="540" w:hRule="atLeast"/>
        </w:trPr>
        <w:tc>
          <w:tcPr>
            <w:tcW w:w="3021" w:type="dxa"/>
          </w:tcPr>
          <w:p>
            <w:pPr>
              <w:pStyle w:val="TableParagraph"/>
              <w:rPr>
                <w:rFonts w:ascii="Times New Roman"/>
                <w:sz w:val="20"/>
              </w:rPr>
            </w:pPr>
          </w:p>
        </w:tc>
        <w:tc>
          <w:tcPr>
            <w:tcW w:w="3021" w:type="dxa"/>
          </w:tcPr>
          <w:p>
            <w:pPr>
              <w:pStyle w:val="TableParagraph"/>
              <w:rPr>
                <w:rFonts w:ascii="Times New Roman"/>
                <w:sz w:val="20"/>
              </w:rPr>
            </w:pPr>
          </w:p>
        </w:tc>
        <w:tc>
          <w:tcPr>
            <w:tcW w:w="3021" w:type="dxa"/>
          </w:tcPr>
          <w:p>
            <w:pPr>
              <w:pStyle w:val="TableParagraph"/>
              <w:rPr>
                <w:rFonts w:ascii="Times New Roman"/>
                <w:sz w:val="20"/>
              </w:rPr>
            </w:pPr>
          </w:p>
        </w:tc>
      </w:tr>
      <w:tr>
        <w:trPr>
          <w:trHeight w:val="540" w:hRule="atLeast"/>
        </w:trPr>
        <w:tc>
          <w:tcPr>
            <w:tcW w:w="3021" w:type="dxa"/>
          </w:tcPr>
          <w:p>
            <w:pPr>
              <w:pStyle w:val="TableParagraph"/>
              <w:rPr>
                <w:rFonts w:ascii="Times New Roman"/>
                <w:sz w:val="20"/>
              </w:rPr>
            </w:pPr>
          </w:p>
        </w:tc>
        <w:tc>
          <w:tcPr>
            <w:tcW w:w="3021" w:type="dxa"/>
          </w:tcPr>
          <w:p>
            <w:pPr>
              <w:pStyle w:val="TableParagraph"/>
              <w:rPr>
                <w:rFonts w:ascii="Times New Roman"/>
                <w:sz w:val="20"/>
              </w:rPr>
            </w:pPr>
          </w:p>
        </w:tc>
        <w:tc>
          <w:tcPr>
            <w:tcW w:w="3021" w:type="dxa"/>
          </w:tcPr>
          <w:p>
            <w:pPr>
              <w:pStyle w:val="TableParagraph"/>
              <w:rPr>
                <w:rFonts w:ascii="Times New Roman"/>
                <w:sz w:val="20"/>
              </w:rPr>
            </w:pPr>
          </w:p>
        </w:tc>
      </w:tr>
    </w:tbl>
    <w:p>
      <w:pPr>
        <w:pStyle w:val="ListParagraph"/>
        <w:numPr>
          <w:ilvl w:val="0"/>
          <w:numId w:val="15"/>
        </w:numPr>
        <w:tabs>
          <w:tab w:pos="1021" w:val="left" w:leader="none"/>
          <w:tab w:pos="1022" w:val="left" w:leader="none"/>
        </w:tabs>
        <w:spacing w:line="240" w:lineRule="auto" w:before="85" w:after="0"/>
        <w:ind w:left="1021" w:right="0" w:hanging="464"/>
        <w:jc w:val="left"/>
        <w:rPr>
          <w:rFonts w:ascii="方正黑体_GBK" w:eastAsia="方正黑体_GBK" w:hint="eastAsia"/>
          <w:sz w:val="22"/>
        </w:rPr>
      </w:pPr>
      <w:r>
        <w:rPr>
          <w:rFonts w:ascii="方正黑体_GBK" w:eastAsia="方正黑体_GBK" w:hint="eastAsia"/>
          <w:color w:val="231F20"/>
          <w:sz w:val="22"/>
        </w:rPr>
        <w:t>工期延误</w:t>
      </w:r>
    </w:p>
    <w:p>
      <w:pPr>
        <w:pStyle w:val="BodyText"/>
        <w:tabs>
          <w:tab w:pos="1158" w:val="left" w:leader="none"/>
        </w:tabs>
        <w:spacing w:line="304" w:lineRule="auto" w:before="102"/>
        <w:ind w:left="557" w:right="6464"/>
      </w:pPr>
      <w:r>
        <w:rPr>
          <w:color w:val="231F20"/>
        </w:rPr>
        <w:t>20.3</w:t>
        <w:tab/>
        <w:t>承包人的工期延误本款补充下表。</w:t>
      </w:r>
    </w:p>
    <w:p>
      <w:pPr>
        <w:pStyle w:val="Heading2"/>
        <w:spacing w:before="7"/>
        <w:ind w:left="3032"/>
        <w:rPr>
          <w:rFonts w:ascii="方正书宋_GBK" w:eastAsia="方正书宋_GBK" w:hint="eastAsia"/>
        </w:rPr>
      </w:pPr>
      <w:r>
        <w:rPr>
          <w:rFonts w:ascii="方正黑体_GBK" w:eastAsia="方正黑体_GBK" w:hint="eastAsia"/>
          <w:color w:val="231F20"/>
        </w:rPr>
        <w:t>逾期完工违约金表</w:t>
      </w:r>
      <w:r>
        <w:rPr>
          <w:rFonts w:ascii="方正书宋_GBK" w:eastAsia="方正书宋_GBK" w:hint="eastAsia"/>
          <w:color w:val="231F20"/>
        </w:rPr>
        <w:t>（参考格式）</w:t>
      </w:r>
    </w:p>
    <w:p>
      <w:pPr>
        <w:pStyle w:val="BodyText"/>
        <w:spacing w:before="11"/>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2266"/>
        <w:gridCol w:w="2266"/>
        <w:gridCol w:w="2266"/>
        <w:gridCol w:w="2266"/>
      </w:tblGrid>
      <w:tr>
        <w:trPr>
          <w:trHeight w:val="440" w:hRule="atLeast"/>
        </w:trPr>
        <w:tc>
          <w:tcPr>
            <w:tcW w:w="2266" w:type="dxa"/>
          </w:tcPr>
          <w:p>
            <w:pPr>
              <w:pStyle w:val="TableParagraph"/>
              <w:spacing w:before="66"/>
              <w:ind w:left="932" w:right="924"/>
              <w:jc w:val="center"/>
              <w:rPr>
                <w:sz w:val="18"/>
              </w:rPr>
            </w:pPr>
            <w:r>
              <w:rPr>
                <w:color w:val="231F20"/>
                <w:sz w:val="18"/>
              </w:rPr>
              <w:t>序号</w:t>
            </w:r>
          </w:p>
        </w:tc>
        <w:tc>
          <w:tcPr>
            <w:tcW w:w="2266" w:type="dxa"/>
          </w:tcPr>
          <w:p>
            <w:pPr>
              <w:pStyle w:val="TableParagraph"/>
              <w:spacing w:before="66"/>
              <w:ind w:left="591"/>
              <w:rPr>
                <w:sz w:val="18"/>
              </w:rPr>
            </w:pPr>
            <w:r>
              <w:rPr>
                <w:color w:val="231F20"/>
                <w:sz w:val="18"/>
              </w:rPr>
              <w:t>项目及其说明</w:t>
            </w:r>
          </w:p>
        </w:tc>
        <w:tc>
          <w:tcPr>
            <w:tcW w:w="2266" w:type="dxa"/>
          </w:tcPr>
          <w:p>
            <w:pPr>
              <w:pStyle w:val="TableParagraph"/>
              <w:spacing w:before="66"/>
              <w:ind w:left="591"/>
              <w:rPr>
                <w:sz w:val="18"/>
              </w:rPr>
            </w:pPr>
            <w:r>
              <w:rPr>
                <w:color w:val="231F20"/>
                <w:sz w:val="18"/>
              </w:rPr>
              <w:t>要求完工日期</w:t>
            </w:r>
          </w:p>
        </w:tc>
        <w:tc>
          <w:tcPr>
            <w:tcW w:w="2266" w:type="dxa"/>
          </w:tcPr>
          <w:p>
            <w:pPr>
              <w:pStyle w:val="TableParagraph"/>
              <w:spacing w:before="66"/>
              <w:ind w:left="71"/>
              <w:rPr>
                <w:sz w:val="18"/>
              </w:rPr>
            </w:pPr>
            <w:r>
              <w:rPr>
                <w:color w:val="231F20"/>
                <w:sz w:val="18"/>
              </w:rPr>
              <w:t>逾期完工违约金（元 / 天）</w:t>
            </w:r>
          </w:p>
        </w:tc>
      </w:tr>
      <w:tr>
        <w:trPr>
          <w:trHeight w:val="520" w:hRule="atLeast"/>
        </w:trPr>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r>
      <w:tr>
        <w:trPr>
          <w:trHeight w:val="520" w:hRule="atLeast"/>
        </w:trPr>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r>
      <w:tr>
        <w:trPr>
          <w:trHeight w:val="520" w:hRule="atLeast"/>
        </w:trPr>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r>
    </w:tbl>
    <w:p>
      <w:pPr>
        <w:pStyle w:val="BodyText"/>
        <w:tabs>
          <w:tab w:pos="777" w:val="left" w:leader="none"/>
        </w:tabs>
        <w:spacing w:line="304" w:lineRule="auto" w:before="91"/>
        <w:ind w:right="189" w:firstLine="440"/>
      </w:pPr>
      <w:r>
        <w:rPr>
          <w:color w:val="231F20"/>
          <w:spacing w:val="5"/>
        </w:rPr>
        <w:t>上表中各项逾期完工违约金将单独予以确</w:t>
      </w:r>
      <w:r>
        <w:rPr>
          <w:color w:val="231F20"/>
        </w:rPr>
        <w:t>定</w:t>
      </w:r>
      <w:r>
        <w:rPr>
          <w:color w:val="231F20"/>
          <w:spacing w:val="5"/>
        </w:rPr>
        <w:t>，但其最终的累计总金额不应超过合同价格</w:t>
      </w:r>
      <w:r>
        <w:rPr>
          <w:color w:val="231F20"/>
        </w:rPr>
        <w:t>的</w:t>
      </w:r>
      <w:r>
        <w:rPr>
          <w:color w:val="231F20"/>
          <w:u w:val="single" w:color="231F20"/>
        </w:rPr>
        <w:t> </w:t>
        <w:tab/>
      </w:r>
      <w:r>
        <w:rPr>
          <w:color w:val="231F20"/>
        </w:rPr>
        <w:t>％。</w:t>
      </w:r>
    </w:p>
    <w:p>
      <w:pPr>
        <w:pStyle w:val="ListParagraph"/>
        <w:numPr>
          <w:ilvl w:val="0"/>
          <w:numId w:val="15"/>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工期提前</w:t>
      </w:r>
    </w:p>
    <w:p>
      <w:pPr>
        <w:pStyle w:val="BodyText"/>
        <w:tabs>
          <w:tab w:pos="1158" w:val="left" w:leader="none"/>
        </w:tabs>
        <w:spacing w:line="304" w:lineRule="auto" w:before="101"/>
        <w:ind w:left="557" w:right="6684"/>
      </w:pPr>
      <w:r>
        <w:rPr>
          <w:color w:val="231F20"/>
        </w:rPr>
        <w:t>21.1</w:t>
        <w:tab/>
        <w:t>承包人提前工期本款补充下表。</w:t>
      </w:r>
    </w:p>
    <w:p>
      <w:pPr>
        <w:spacing w:after="0" w:line="304" w:lineRule="auto"/>
        <w:sectPr>
          <w:pgSz w:w="11910" w:h="16840"/>
          <w:pgMar w:header="0" w:footer="832" w:top="1580" w:bottom="1020" w:left="1300" w:right="1220"/>
        </w:sectPr>
      </w:pPr>
    </w:p>
    <w:p>
      <w:pPr>
        <w:pStyle w:val="Heading2"/>
        <w:spacing w:before="10"/>
        <w:ind w:left="3252"/>
        <w:rPr>
          <w:rFonts w:ascii="方正书宋_GBK" w:eastAsia="方正书宋_GBK" w:hint="eastAsia"/>
        </w:rPr>
      </w:pPr>
      <w:r>
        <w:rPr>
          <w:rFonts w:ascii="方正黑体_GBK" w:eastAsia="方正黑体_GBK" w:hint="eastAsia"/>
          <w:color w:val="231F20"/>
        </w:rPr>
        <w:t>提前完工奖金表</w:t>
      </w:r>
      <w:r>
        <w:rPr>
          <w:rFonts w:ascii="方正书宋_GBK" w:eastAsia="方正书宋_GBK" w:hint="eastAsia"/>
          <w:color w:val="231F20"/>
        </w:rPr>
        <w:t>（参考格式）</w:t>
      </w:r>
    </w:p>
    <w:p>
      <w:pPr>
        <w:pStyle w:val="BodyText"/>
        <w:spacing w:before="11"/>
        <w:ind w:left="0"/>
        <w:rPr>
          <w:sz w:val="12"/>
        </w:rPr>
      </w:pPr>
    </w:p>
    <w:tbl>
      <w:tblPr>
        <w:tblW w:w="0" w:type="auto"/>
        <w:jc w:val="left"/>
        <w:tblInd w:w="2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2266"/>
        <w:gridCol w:w="2266"/>
        <w:gridCol w:w="2266"/>
        <w:gridCol w:w="2266"/>
      </w:tblGrid>
      <w:tr>
        <w:trPr>
          <w:trHeight w:val="340" w:hRule="atLeast"/>
        </w:trPr>
        <w:tc>
          <w:tcPr>
            <w:tcW w:w="2266" w:type="dxa"/>
          </w:tcPr>
          <w:p>
            <w:pPr>
              <w:pStyle w:val="TableParagraph"/>
              <w:spacing w:before="22"/>
              <w:ind w:left="932" w:right="924"/>
              <w:jc w:val="center"/>
              <w:rPr>
                <w:sz w:val="18"/>
              </w:rPr>
            </w:pPr>
            <w:r>
              <w:rPr>
                <w:color w:val="231F20"/>
                <w:sz w:val="18"/>
              </w:rPr>
              <w:t>序号</w:t>
            </w:r>
          </w:p>
        </w:tc>
        <w:tc>
          <w:tcPr>
            <w:tcW w:w="2266" w:type="dxa"/>
          </w:tcPr>
          <w:p>
            <w:pPr>
              <w:pStyle w:val="TableParagraph"/>
              <w:spacing w:before="22"/>
              <w:ind w:left="591"/>
              <w:rPr>
                <w:sz w:val="18"/>
              </w:rPr>
            </w:pPr>
            <w:r>
              <w:rPr>
                <w:color w:val="231F20"/>
                <w:sz w:val="18"/>
              </w:rPr>
              <w:t>项目及其说明</w:t>
            </w:r>
          </w:p>
        </w:tc>
        <w:tc>
          <w:tcPr>
            <w:tcW w:w="2266" w:type="dxa"/>
          </w:tcPr>
          <w:p>
            <w:pPr>
              <w:pStyle w:val="TableParagraph"/>
              <w:spacing w:before="22"/>
              <w:ind w:left="591"/>
              <w:rPr>
                <w:sz w:val="18"/>
              </w:rPr>
            </w:pPr>
            <w:r>
              <w:rPr>
                <w:color w:val="231F20"/>
                <w:sz w:val="18"/>
              </w:rPr>
              <w:t>要求完工日期</w:t>
            </w:r>
          </w:p>
        </w:tc>
        <w:tc>
          <w:tcPr>
            <w:tcW w:w="2266" w:type="dxa"/>
          </w:tcPr>
          <w:p>
            <w:pPr>
              <w:pStyle w:val="TableParagraph"/>
              <w:spacing w:before="22"/>
              <w:ind w:left="161"/>
              <w:rPr>
                <w:sz w:val="18"/>
              </w:rPr>
            </w:pPr>
            <w:r>
              <w:rPr>
                <w:color w:val="231F20"/>
                <w:sz w:val="18"/>
              </w:rPr>
              <w:t>提前完工奖金（元 / 天）</w:t>
            </w:r>
          </w:p>
        </w:tc>
      </w:tr>
      <w:tr>
        <w:trPr>
          <w:trHeight w:val="340" w:hRule="atLeast"/>
        </w:trPr>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r>
      <w:tr>
        <w:trPr>
          <w:trHeight w:val="340" w:hRule="atLeast"/>
        </w:trPr>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r>
      <w:tr>
        <w:trPr>
          <w:trHeight w:val="340" w:hRule="atLeast"/>
        </w:trPr>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c>
          <w:tcPr>
            <w:tcW w:w="2266" w:type="dxa"/>
          </w:tcPr>
          <w:p>
            <w:pPr>
              <w:pStyle w:val="TableParagraph"/>
              <w:rPr>
                <w:rFonts w:ascii="Times New Roman"/>
                <w:sz w:val="20"/>
              </w:rPr>
            </w:pPr>
          </w:p>
        </w:tc>
      </w:tr>
    </w:tbl>
    <w:p>
      <w:pPr>
        <w:pStyle w:val="BodyText"/>
        <w:tabs>
          <w:tab w:pos="1121" w:val="left" w:leader="none"/>
        </w:tabs>
        <w:spacing w:before="85"/>
        <w:ind w:left="657"/>
        <w:rPr>
          <w:rFonts w:ascii="方正黑体_GBK" w:eastAsia="方正黑体_GBK" w:hint="eastAsia"/>
        </w:rPr>
      </w:pPr>
      <w:r>
        <w:rPr>
          <w:rFonts w:ascii="方正黑体_GBK" w:eastAsia="方正黑体_GBK" w:hint="eastAsia"/>
          <w:color w:val="231F20"/>
        </w:rPr>
        <w:t>23</w:t>
        <w:tab/>
        <w:t>材料和工程设备的检查和检验</w:t>
      </w:r>
    </w:p>
    <w:p>
      <w:pPr>
        <w:pStyle w:val="BodyText"/>
        <w:tabs>
          <w:tab w:pos="1258" w:val="left" w:leader="none"/>
        </w:tabs>
        <w:spacing w:before="102"/>
        <w:ind w:left="657"/>
      </w:pPr>
      <w:r>
        <w:rPr>
          <w:color w:val="231F20"/>
        </w:rPr>
        <w:t>23.1</w:t>
        <w:tab/>
        <w:t>材料和工程设备的检验和交货验收</w:t>
      </w:r>
    </w:p>
    <w:p>
      <w:pPr>
        <w:pStyle w:val="BodyText"/>
        <w:ind w:left="657"/>
      </w:pPr>
      <w:r>
        <w:rPr>
          <w:color w:val="231F20"/>
        </w:rPr>
        <w:t>若发包人指定部分材料和工程设备的供应来源时，本款应作如下修改：</w:t>
      </w:r>
    </w:p>
    <w:p>
      <w:pPr>
        <w:pStyle w:val="BodyText"/>
        <w:spacing w:line="304" w:lineRule="auto"/>
        <w:ind w:left="217" w:right="214" w:firstLine="440"/>
        <w:jc w:val="both"/>
      </w:pPr>
      <w:r>
        <w:rPr>
          <w:color w:val="231F20"/>
          <w:spacing w:val="-25"/>
        </w:rPr>
        <w:t>本款</w:t>
      </w:r>
      <w:r>
        <w:rPr>
          <w:color w:val="231F20"/>
        </w:rPr>
        <w:t>（ </w:t>
      </w:r>
      <w:r>
        <w:rPr>
          <w:color w:val="231F20"/>
          <w:spacing w:val="-1"/>
        </w:rPr>
        <w:t>1</w:t>
      </w:r>
      <w:r>
        <w:rPr>
          <w:color w:val="231F20"/>
          <w:spacing w:val="-49"/>
        </w:rPr>
        <w:t>）</w:t>
      </w:r>
      <w:r>
        <w:rPr>
          <w:color w:val="231F20"/>
          <w:spacing w:val="-14"/>
        </w:rPr>
        <w:t>项中“承包人提供的材料和工程设备应由承包人负责检验和交货验收”，改为“无论是承包人提供的材料和工程设备，还是发包人指定供应来源的材料和工程设备，均由承包人</w:t>
      </w:r>
      <w:r>
        <w:rPr>
          <w:color w:val="231F20"/>
          <w:spacing w:val="-20"/>
        </w:rPr>
        <w:t>负责检验和交货验收”。</w:t>
      </w:r>
    </w:p>
    <w:p>
      <w:pPr>
        <w:pStyle w:val="BodyText"/>
        <w:tabs>
          <w:tab w:pos="1121" w:val="left" w:leader="none"/>
        </w:tabs>
        <w:spacing w:before="15"/>
        <w:ind w:left="657"/>
        <w:rPr>
          <w:rFonts w:ascii="方正黑体_GBK" w:eastAsia="方正黑体_GBK" w:hint="eastAsia"/>
        </w:rPr>
      </w:pPr>
      <w:r>
        <w:rPr>
          <w:rFonts w:ascii="方正黑体_GBK" w:eastAsia="方正黑体_GBK" w:hint="eastAsia"/>
          <w:color w:val="231F20"/>
        </w:rPr>
        <w:t>29</w:t>
        <w:tab/>
        <w:t>文明施工</w:t>
      </w:r>
    </w:p>
    <w:p>
      <w:pPr>
        <w:pStyle w:val="BodyText"/>
        <w:tabs>
          <w:tab w:pos="1258" w:val="left" w:leader="none"/>
        </w:tabs>
        <w:spacing w:before="102"/>
        <w:ind w:left="657"/>
      </w:pPr>
      <w:r>
        <w:rPr>
          <w:color w:val="231F20"/>
        </w:rPr>
        <w:t>29.2</w:t>
        <w:tab/>
        <w:t>施工安全</w:t>
      </w:r>
    </w:p>
    <w:p>
      <w:pPr>
        <w:pStyle w:val="BodyText"/>
        <w:spacing w:line="304" w:lineRule="auto"/>
        <w:ind w:left="217" w:right="68" w:firstLine="440"/>
      </w:pPr>
      <w:r>
        <w:rPr>
          <w:color w:val="231F20"/>
          <w:spacing w:val="-2"/>
        </w:rPr>
        <w:t>若发包人需要委托承包人在工地建立一支消防队伍时，本款应作如下修改：删去本款</w:t>
      </w:r>
      <w:r>
        <w:rPr>
          <w:color w:val="231F20"/>
        </w:rPr>
        <w:t>（ 3） </w:t>
      </w:r>
      <w:r>
        <w:rPr>
          <w:color w:val="231F20"/>
          <w:spacing w:val="-6"/>
        </w:rPr>
        <w:t>项全文，并代之以：发包人委托承包人在工地建立一支消防队伍负责全工地的消防工作，并配 </w:t>
      </w:r>
      <w:r>
        <w:rPr>
          <w:color w:val="231F20"/>
          <w:spacing w:val="-9"/>
        </w:rPr>
        <w:t>备必要的消防设备和救助设施，所需费用由承包人承担。对消防的要求见《技术条款》。发包 人应负责协调承包人与其他承包人的关系。</w:t>
      </w:r>
    </w:p>
    <w:p>
      <w:pPr>
        <w:pStyle w:val="ListParagraph"/>
        <w:numPr>
          <w:ilvl w:val="0"/>
          <w:numId w:val="16"/>
        </w:numPr>
        <w:tabs>
          <w:tab w:pos="1121" w:val="left" w:leader="none"/>
          <w:tab w:pos="1122" w:val="left" w:leader="none"/>
        </w:tabs>
        <w:spacing w:line="240" w:lineRule="auto" w:before="15" w:after="0"/>
        <w:ind w:left="1121" w:right="0" w:hanging="464"/>
        <w:jc w:val="left"/>
        <w:rPr>
          <w:rFonts w:ascii="方正黑体_GBK" w:eastAsia="方正黑体_GBK" w:hint="eastAsia"/>
          <w:sz w:val="22"/>
        </w:rPr>
      </w:pPr>
      <w:r>
        <w:rPr>
          <w:rFonts w:ascii="方正黑体_GBK" w:eastAsia="方正黑体_GBK" w:hint="eastAsia"/>
          <w:color w:val="231F20"/>
          <w:sz w:val="22"/>
        </w:rPr>
        <w:t>预付款</w:t>
      </w:r>
    </w:p>
    <w:p>
      <w:pPr>
        <w:pStyle w:val="ListParagraph"/>
        <w:numPr>
          <w:ilvl w:val="1"/>
          <w:numId w:val="16"/>
        </w:numPr>
        <w:tabs>
          <w:tab w:pos="1258" w:val="left" w:leader="none"/>
          <w:tab w:pos="1259" w:val="left" w:leader="none"/>
        </w:tabs>
        <w:spacing w:line="240" w:lineRule="auto" w:before="102" w:after="0"/>
        <w:ind w:left="1258" w:right="0" w:hanging="601"/>
        <w:jc w:val="left"/>
        <w:rPr>
          <w:sz w:val="22"/>
        </w:rPr>
      </w:pPr>
      <w:r>
        <w:rPr>
          <w:color w:val="231F20"/>
          <w:sz w:val="22"/>
        </w:rPr>
        <w:t>工程预付款</w:t>
      </w:r>
    </w:p>
    <w:p>
      <w:pPr>
        <w:pStyle w:val="BodyText"/>
        <w:tabs>
          <w:tab w:pos="1211" w:val="left" w:leader="none"/>
          <w:tab w:pos="5685" w:val="left" w:leader="none"/>
          <w:tab w:pos="5717" w:val="left" w:leader="none"/>
          <w:tab w:pos="5927" w:val="left" w:leader="none"/>
          <w:tab w:pos="8357" w:val="left" w:leader="none"/>
        </w:tabs>
        <w:spacing w:line="304" w:lineRule="auto"/>
        <w:ind w:left="107" w:right="210" w:firstLine="550"/>
        <w:jc w:val="both"/>
      </w:pPr>
      <w:r>
        <w:rPr>
          <w:color w:val="231F20"/>
          <w:spacing w:val="2"/>
        </w:rPr>
        <w:t>本</w:t>
      </w:r>
      <w:r>
        <w:rPr>
          <w:color w:val="231F20"/>
        </w:rPr>
        <w:t>款（</w:t>
      </w:r>
      <w:r>
        <w:rPr>
          <w:color w:val="231F20"/>
          <w:spacing w:val="-25"/>
        </w:rPr>
        <w:t> </w:t>
      </w:r>
      <w:r>
        <w:rPr>
          <w:color w:val="231F20"/>
        </w:rPr>
        <w:t>1）</w:t>
      </w:r>
      <w:r>
        <w:rPr>
          <w:color w:val="231F20"/>
          <w:spacing w:val="2"/>
        </w:rPr>
        <w:t>项中工程预付款总金额为合同价格</w:t>
      </w:r>
      <w:r>
        <w:rPr>
          <w:color w:val="231F20"/>
        </w:rPr>
        <w:t>的</w:t>
      </w:r>
      <w:r>
        <w:rPr>
          <w:color w:val="231F20"/>
          <w:u w:val="single" w:color="231F20"/>
        </w:rPr>
        <w:t> </w:t>
        <w:tab/>
        <w:tab/>
        <w:tab/>
      </w:r>
      <w:r>
        <w:rPr>
          <w:color w:val="231F20"/>
        </w:rPr>
        <w:t>％，</w:t>
      </w:r>
      <w:r>
        <w:rPr>
          <w:color w:val="231F20"/>
          <w:spacing w:val="2"/>
        </w:rPr>
        <w:t>第一次支付金额为该预付款总 额</w:t>
      </w:r>
      <w:r>
        <w:rPr>
          <w:color w:val="231F20"/>
        </w:rPr>
        <w:t>的</w:t>
      </w:r>
      <w:r>
        <w:rPr>
          <w:color w:val="231F20"/>
          <w:u w:val="single" w:color="231F20"/>
        </w:rPr>
        <w:t> </w:t>
        <w:tab/>
      </w:r>
      <w:r>
        <w:rPr>
          <w:color w:val="231F20"/>
        </w:rPr>
        <w:t>％，</w:t>
      </w:r>
      <w:r>
        <w:rPr>
          <w:color w:val="231F20"/>
          <w:spacing w:val="2"/>
        </w:rPr>
        <w:t>第二次支付金额为该预付款总额</w:t>
      </w:r>
      <w:r>
        <w:rPr>
          <w:color w:val="231F20"/>
        </w:rPr>
        <w:t>的</w:t>
      </w:r>
      <w:r>
        <w:rPr>
          <w:color w:val="231F20"/>
          <w:u w:val="single" w:color="231F20"/>
        </w:rPr>
        <w:t> </w:t>
        <w:tab/>
      </w:r>
      <w:r>
        <w:rPr>
          <w:color w:val="231F20"/>
        </w:rPr>
        <w:t>％</w:t>
      </w:r>
      <w:r>
        <w:rPr>
          <w:color w:val="231F20"/>
          <w:spacing w:val="2"/>
        </w:rPr>
        <w:t>。本</w:t>
      </w:r>
      <w:r>
        <w:rPr>
          <w:color w:val="231F20"/>
        </w:rPr>
        <w:t>款（</w:t>
      </w:r>
      <w:r>
        <w:rPr>
          <w:color w:val="231F20"/>
          <w:spacing w:val="-13"/>
        </w:rPr>
        <w:t> </w:t>
      </w:r>
      <w:r>
        <w:rPr>
          <w:color w:val="231F20"/>
        </w:rPr>
        <w:t>4）</w:t>
      </w:r>
      <w:r>
        <w:rPr>
          <w:color w:val="231F20"/>
          <w:spacing w:val="2"/>
        </w:rPr>
        <w:t>项中先后出现的两个</w:t>
      </w:r>
      <w:r>
        <w:rPr>
          <w:color w:val="231F20"/>
          <w:spacing w:val="3"/>
        </w:rPr>
        <w:t> </w:t>
      </w:r>
      <w:r>
        <w:rPr>
          <w:color w:val="231F20"/>
        </w:rPr>
        <w:t>“专用合同条款规定的数额</w:t>
      </w:r>
      <w:r>
        <w:rPr>
          <w:color w:val="231F20"/>
          <w:spacing w:val="-110"/>
        </w:rPr>
        <w:t>”</w:t>
      </w:r>
      <w:r>
        <w:rPr>
          <w:color w:val="231F20"/>
        </w:rPr>
        <w:t>，分别为“合同价格的</w:t>
      </w:r>
      <w:r>
        <w:rPr>
          <w:rFonts w:ascii="Times New Roman" w:hAnsi="Times New Roman" w:eastAsia="Times New Roman"/>
          <w:color w:val="231F20"/>
          <w:u w:val="single" w:color="231F20"/>
        </w:rPr>
        <w:t> </w:t>
        <w:tab/>
        <w:tab/>
      </w:r>
      <w:r>
        <w:rPr>
          <w:color w:val="231F20"/>
        </w:rPr>
        <w:t>％”和“合同价格的</w:t>
      </w:r>
      <w:r>
        <w:rPr>
          <w:rFonts w:ascii="Times New Roman" w:hAnsi="Times New Roman" w:eastAsia="Times New Roman"/>
          <w:color w:val="231F20"/>
          <w:u w:val="single" w:color="231F20"/>
        </w:rPr>
        <w:t> </w:t>
        <w:tab/>
      </w:r>
      <w:r>
        <w:rPr>
          <w:color w:val="231F20"/>
        </w:rPr>
        <w:t>％</w:t>
      </w:r>
      <w:r>
        <w:rPr>
          <w:color w:val="231F20"/>
          <w:spacing w:val="-83"/>
        </w:rPr>
        <w:t>”。</w:t>
      </w:r>
    </w:p>
    <w:p>
      <w:pPr>
        <w:pStyle w:val="ListParagraph"/>
        <w:numPr>
          <w:ilvl w:val="1"/>
          <w:numId w:val="16"/>
        </w:numPr>
        <w:tabs>
          <w:tab w:pos="1258" w:val="left" w:leader="none"/>
          <w:tab w:pos="1259" w:val="left" w:leader="none"/>
        </w:tabs>
        <w:spacing w:line="240" w:lineRule="auto" w:before="21" w:after="0"/>
        <w:ind w:left="1258" w:right="0" w:hanging="601"/>
        <w:jc w:val="left"/>
        <w:rPr>
          <w:sz w:val="22"/>
        </w:rPr>
      </w:pPr>
      <w:r>
        <w:rPr>
          <w:color w:val="231F20"/>
          <w:sz w:val="22"/>
        </w:rPr>
        <w:t>工程的材料预付款</w:t>
      </w:r>
    </w:p>
    <w:p>
      <w:pPr>
        <w:pStyle w:val="BodyText"/>
        <w:ind w:left="657"/>
      </w:pPr>
      <w:r>
        <w:rPr>
          <w:color w:val="231F20"/>
        </w:rPr>
        <w:t>本款（ 1）项中所指的“主要材料”为：</w:t>
      </w:r>
    </w:p>
    <w:p>
      <w:pPr>
        <w:pStyle w:val="BodyText"/>
        <w:ind w:left="657"/>
      </w:pPr>
      <w:r>
        <w:rPr>
          <w:color w:val="231F20"/>
        </w:rPr>
        <w:t>①（填入主要材料名称）</w:t>
      </w:r>
    </w:p>
    <w:p>
      <w:pPr>
        <w:pStyle w:val="BodyText"/>
        <w:ind w:left="657"/>
      </w:pPr>
      <w:r>
        <w:rPr>
          <w:color w:val="231F20"/>
        </w:rPr>
        <w:t>②</w:t>
      </w:r>
    </w:p>
    <w:p>
      <w:pPr>
        <w:pStyle w:val="BodyText"/>
        <w:ind w:left="657"/>
      </w:pPr>
      <w:r>
        <w:rPr/>
        <w:pict>
          <v:shape style="position:absolute;margin-left:91.436386pt;margin-top:28.391399pt;width:14.4pt;height:34pt;mso-position-horizontal-relative:page;mso-position-vertical-relative:paragraph;z-index:1120" type="#_x0000_t202" filled="false" stroked="false">
            <v:textbox inset="0,0,0,0" style="layout-flow:vertical;mso-layout-flow-alt:bottom-to-top">
              <w:txbxContent>
                <w:p>
                  <w:pPr>
                    <w:pStyle w:val="BodyText"/>
                    <w:spacing w:line="268" w:lineRule="exact" w:before="0"/>
                    <w:ind w:left="20"/>
                    <w:rPr>
                      <w:rFonts w:ascii="方正黑体_GBK" w:hAnsi="方正黑体_GBK"/>
                    </w:rPr>
                  </w:pPr>
                  <w:r>
                    <w:rPr>
                      <w:rFonts w:ascii="方正黑体_GBK" w:hAnsi="方正黑体_GBK"/>
                      <w:color w:val="231F20"/>
                    </w:rPr>
                    <w:t>…  </w:t>
                  </w:r>
                  <w:r>
                    <w:rPr>
                      <w:rFonts w:ascii="方正黑体_GBK" w:hAnsi="方正黑体_GBK"/>
                      <w:color w:val="231F20"/>
                      <w:spacing w:val="15"/>
                    </w:rPr>
                    <w:t> </w:t>
                  </w:r>
                  <w:r>
                    <w:rPr>
                      <w:rFonts w:ascii="方正黑体_GBK" w:hAnsi="方正黑体_GBK"/>
                      <w:color w:val="231F20"/>
                    </w:rPr>
                    <w:t>…</w:t>
                  </w:r>
                </w:p>
              </w:txbxContent>
            </v:textbox>
            <w10:wrap type="none"/>
          </v:shape>
        </w:pict>
      </w:r>
      <w:r>
        <w:rPr>
          <w:color w:val="231F20"/>
        </w:rPr>
        <w:t>③</w:t>
      </w:r>
    </w:p>
    <w:p>
      <w:pPr>
        <w:pStyle w:val="BodyText"/>
        <w:spacing w:before="0"/>
        <w:ind w:left="0"/>
        <w:rPr>
          <w:sz w:val="20"/>
        </w:rPr>
      </w:pPr>
    </w:p>
    <w:p>
      <w:pPr>
        <w:pStyle w:val="BodyText"/>
        <w:spacing w:before="0"/>
        <w:ind w:left="0"/>
        <w:rPr>
          <w:sz w:val="20"/>
        </w:rPr>
      </w:pPr>
    </w:p>
    <w:p>
      <w:pPr>
        <w:pStyle w:val="BodyText"/>
        <w:spacing w:before="12"/>
        <w:ind w:left="0"/>
        <w:rPr>
          <w:sz w:val="19"/>
        </w:rPr>
      </w:pPr>
    </w:p>
    <w:p>
      <w:pPr>
        <w:pStyle w:val="ListParagraph"/>
        <w:numPr>
          <w:ilvl w:val="0"/>
          <w:numId w:val="16"/>
        </w:numPr>
        <w:tabs>
          <w:tab w:pos="1121" w:val="left" w:leader="none"/>
          <w:tab w:pos="1122" w:val="left" w:leader="none"/>
        </w:tabs>
        <w:spacing w:line="240" w:lineRule="auto" w:before="24" w:after="0"/>
        <w:ind w:left="1121" w:right="0" w:hanging="464"/>
        <w:jc w:val="left"/>
        <w:rPr>
          <w:rFonts w:ascii="方正黑体_GBK" w:eastAsia="方正黑体_GBK" w:hint="eastAsia"/>
          <w:sz w:val="22"/>
        </w:rPr>
      </w:pPr>
      <w:r>
        <w:rPr>
          <w:rFonts w:ascii="方正黑体_GBK" w:eastAsia="方正黑体_GBK" w:hint="eastAsia"/>
          <w:color w:val="231F20"/>
          <w:sz w:val="22"/>
        </w:rPr>
        <w:t>工程进度付款</w:t>
      </w:r>
    </w:p>
    <w:p>
      <w:pPr>
        <w:pStyle w:val="BodyText"/>
        <w:tabs>
          <w:tab w:pos="1258" w:val="left" w:leader="none"/>
        </w:tabs>
        <w:spacing w:before="101"/>
        <w:ind w:left="657"/>
      </w:pPr>
      <w:r>
        <w:rPr>
          <w:color w:val="231F20"/>
        </w:rPr>
        <w:t>33.4</w:t>
        <w:tab/>
        <w:t>支付时间</w:t>
      </w:r>
    </w:p>
    <w:p>
      <w:pPr>
        <w:pStyle w:val="BodyText"/>
        <w:spacing w:line="304" w:lineRule="auto" w:before="88"/>
        <w:ind w:left="217" w:right="201" w:firstLine="440"/>
      </w:pPr>
      <w:r>
        <w:rPr>
          <w:color w:val="231F20"/>
        </w:rPr>
        <w:t>本款中“专用合同条款中规定的逾期付款违约金”为按中国人民银行规定的同期贷款最高利率计算的利息。</w:t>
      </w:r>
    </w:p>
    <w:p>
      <w:pPr>
        <w:spacing w:after="0" w:line="304" w:lineRule="auto"/>
        <w:sectPr>
          <w:pgSz w:w="11910" w:h="16840"/>
          <w:pgMar w:header="0" w:footer="832" w:top="1580" w:bottom="1020" w:left="1200" w:right="1200"/>
        </w:sectPr>
      </w:pPr>
    </w:p>
    <w:p>
      <w:pPr>
        <w:pStyle w:val="ListParagraph"/>
        <w:numPr>
          <w:ilvl w:val="0"/>
          <w:numId w:val="16"/>
        </w:numPr>
        <w:tabs>
          <w:tab w:pos="1021" w:val="left" w:leader="none"/>
          <w:tab w:pos="1022" w:val="left" w:leader="none"/>
        </w:tabs>
        <w:spacing w:line="240" w:lineRule="auto" w:before="18" w:after="0"/>
        <w:ind w:left="1021" w:right="0" w:hanging="464"/>
        <w:jc w:val="left"/>
        <w:rPr>
          <w:rFonts w:ascii="方正黑体_GBK" w:eastAsia="方正黑体_GBK" w:hint="eastAsia"/>
          <w:sz w:val="22"/>
        </w:rPr>
      </w:pPr>
      <w:r>
        <w:rPr>
          <w:rFonts w:ascii="方正黑体_GBK" w:eastAsia="方正黑体_GBK" w:hint="eastAsia"/>
          <w:color w:val="231F20"/>
          <w:sz w:val="22"/>
        </w:rPr>
        <w:t>保留金</w:t>
      </w:r>
    </w:p>
    <w:p>
      <w:pPr>
        <w:pStyle w:val="BodyText"/>
        <w:tabs>
          <w:tab w:pos="2317" w:val="left" w:leader="none"/>
          <w:tab w:pos="6108" w:val="left" w:leader="none"/>
        </w:tabs>
        <w:spacing w:line="304" w:lineRule="auto" w:before="102"/>
        <w:ind w:right="105" w:firstLine="440"/>
      </w:pPr>
      <w:r>
        <w:rPr>
          <w:color w:val="231F20"/>
        </w:rPr>
        <w:t>本</w:t>
      </w:r>
      <w:r>
        <w:rPr>
          <w:color w:val="231F20"/>
          <w:spacing w:val="-18"/>
        </w:rPr>
        <w:t>款</w:t>
      </w:r>
      <w:r>
        <w:rPr>
          <w:color w:val="231F20"/>
        </w:rPr>
        <w:t>（</w:t>
      </w:r>
      <w:r>
        <w:rPr>
          <w:color w:val="231F20"/>
          <w:spacing w:val="-27"/>
        </w:rPr>
        <w:t> </w:t>
      </w:r>
      <w:r>
        <w:rPr>
          <w:color w:val="231F20"/>
          <w:spacing w:val="-1"/>
        </w:rPr>
        <w:t>1</w:t>
      </w:r>
      <w:r>
        <w:rPr>
          <w:color w:val="231F20"/>
          <w:spacing w:val="-18"/>
        </w:rPr>
        <w:t>）</w:t>
      </w:r>
      <w:r>
        <w:rPr>
          <w:color w:val="231F20"/>
        </w:rPr>
        <w:t>项</w:t>
      </w:r>
      <w:r>
        <w:rPr>
          <w:color w:val="231F20"/>
          <w:spacing w:val="-18"/>
        </w:rPr>
        <w:t>中</w:t>
      </w:r>
      <w:r>
        <w:rPr>
          <w:color w:val="231F20"/>
        </w:rPr>
        <w:t>“专用合同条款规定的百分比</w:t>
      </w:r>
      <w:r>
        <w:rPr>
          <w:color w:val="231F20"/>
          <w:spacing w:val="-18"/>
        </w:rPr>
        <w:t>”为</w:t>
      </w:r>
      <w:r>
        <w:rPr>
          <w:color w:val="231F20"/>
        </w:rPr>
        <w:t>“</w:t>
      </w:r>
      <w:r>
        <w:rPr>
          <w:rFonts w:ascii="Times New Roman" w:hAnsi="Times New Roman" w:eastAsia="Times New Roman"/>
          <w:color w:val="231F20"/>
          <w:u w:val="single" w:color="231F20"/>
        </w:rPr>
        <w:t> </w:t>
        <w:tab/>
      </w:r>
      <w:r>
        <w:rPr>
          <w:color w:val="231F20"/>
        </w:rPr>
        <w:t>％</w:t>
      </w:r>
      <w:r>
        <w:rPr>
          <w:color w:val="231F20"/>
          <w:spacing w:val="-110"/>
        </w:rPr>
        <w:t>”</w:t>
      </w:r>
      <w:r>
        <w:rPr>
          <w:color w:val="231F20"/>
          <w:spacing w:val="-220"/>
        </w:rPr>
        <w:t>，</w:t>
      </w:r>
      <w:r>
        <w:rPr>
          <w:color w:val="231F20"/>
        </w:rPr>
        <w:t>“专用合同条款规定的数额”为“合同价格的</w:t>
      </w:r>
      <w:r>
        <w:rPr>
          <w:color w:val="231F20"/>
          <w:u w:val="single" w:color="231F20"/>
        </w:rPr>
        <w:t> </w:t>
        <w:tab/>
      </w:r>
      <w:r>
        <w:rPr>
          <w:color w:val="231F20"/>
          <w:spacing w:val="-42"/>
        </w:rPr>
        <w:t>％”</w:t>
      </w:r>
      <w:r>
        <w:rPr>
          <w:color w:val="231F20"/>
          <w:spacing w:val="-83"/>
        </w:rPr>
        <w:t>。</w:t>
      </w:r>
    </w:p>
    <w:p>
      <w:pPr>
        <w:pStyle w:val="BodyText"/>
        <w:tabs>
          <w:tab w:pos="1021" w:val="left" w:leader="none"/>
        </w:tabs>
        <w:spacing w:before="14"/>
        <w:ind w:left="557"/>
        <w:rPr>
          <w:rFonts w:ascii="方正黑体_GBK" w:eastAsia="方正黑体_GBK" w:hint="eastAsia"/>
        </w:rPr>
      </w:pPr>
      <w:r>
        <w:rPr>
          <w:rFonts w:ascii="方正黑体_GBK" w:eastAsia="方正黑体_GBK" w:hint="eastAsia"/>
          <w:color w:val="231F20"/>
        </w:rPr>
        <w:t>37</w:t>
        <w:tab/>
        <w:t>物价波动引起的价格调整</w:t>
      </w:r>
    </w:p>
    <w:p>
      <w:pPr>
        <w:pStyle w:val="BodyText"/>
        <w:tabs>
          <w:tab w:pos="1158" w:val="left" w:leader="none"/>
        </w:tabs>
        <w:spacing w:before="101"/>
        <w:ind w:left="557"/>
      </w:pPr>
      <w:r>
        <w:rPr>
          <w:color w:val="231F20"/>
        </w:rPr>
        <w:t>37.4</w:t>
        <w:tab/>
        <w:t>其他的调价因素</w:t>
      </w:r>
    </w:p>
    <w:p>
      <w:pPr>
        <w:pStyle w:val="BodyText"/>
        <w:ind w:left="447"/>
      </w:pPr>
      <w:r>
        <w:rPr>
          <w:color w:val="231F20"/>
        </w:rPr>
        <w:t>（若还有除通用合同条款规定外的调价因素和调价办法，可在本款作补充规定</w:t>
      </w:r>
      <w:r>
        <w:rPr>
          <w:color w:val="231F20"/>
          <w:spacing w:val="-83"/>
        </w:rPr>
        <w:t>）</w:t>
      </w:r>
      <w:r>
        <w:rPr>
          <w:color w:val="231F20"/>
        </w:rPr>
        <w:t>。</w:t>
      </w:r>
    </w:p>
    <w:p>
      <w:pPr>
        <w:pStyle w:val="BodyText"/>
        <w:tabs>
          <w:tab w:pos="1021" w:val="left" w:leader="none"/>
        </w:tabs>
        <w:spacing w:before="83"/>
        <w:ind w:left="557"/>
        <w:rPr>
          <w:rFonts w:ascii="方正黑体_GBK" w:eastAsia="方正黑体_GBK" w:hint="eastAsia"/>
        </w:rPr>
      </w:pPr>
      <w:r>
        <w:rPr>
          <w:rFonts w:ascii="方正黑体_GBK" w:eastAsia="方正黑体_GBK" w:hint="eastAsia"/>
          <w:color w:val="231F20"/>
        </w:rPr>
        <w:t>39</w:t>
        <w:tab/>
        <w:t>变更</w:t>
      </w:r>
    </w:p>
    <w:p>
      <w:pPr>
        <w:pStyle w:val="BodyText"/>
        <w:tabs>
          <w:tab w:pos="1158" w:val="left" w:leader="none"/>
        </w:tabs>
        <w:spacing w:before="102"/>
        <w:ind w:left="557"/>
      </w:pPr>
      <w:r>
        <w:rPr>
          <w:color w:val="231F20"/>
        </w:rPr>
        <w:t>39.1</w:t>
        <w:tab/>
        <w:t>变更的范围和内容</w:t>
      </w:r>
    </w:p>
    <w:p>
      <w:pPr>
        <w:pStyle w:val="BodyText"/>
        <w:tabs>
          <w:tab w:pos="6743" w:val="left" w:leader="none"/>
        </w:tabs>
        <w:ind w:left="557"/>
      </w:pPr>
      <w:r>
        <w:rPr>
          <w:color w:val="231F20"/>
        </w:rPr>
        <w:t>本款第（</w:t>
      </w:r>
      <w:r>
        <w:rPr>
          <w:color w:val="231F20"/>
          <w:spacing w:val="-27"/>
        </w:rPr>
        <w:t> </w:t>
      </w:r>
      <w:r>
        <w:rPr>
          <w:color w:val="231F20"/>
          <w:spacing w:val="-1"/>
        </w:rPr>
        <w:t>1）项②中</w:t>
      </w:r>
      <w:r>
        <w:rPr>
          <w:color w:val="231F20"/>
          <w:spacing w:val="-110"/>
        </w:rPr>
        <w:t>，</w:t>
      </w:r>
      <w:r>
        <w:rPr>
          <w:color w:val="231F20"/>
        </w:rPr>
        <w:t>“专用合同条款规定的百分比”为“</w:t>
      </w:r>
      <w:r>
        <w:rPr>
          <w:rFonts w:ascii="Times New Roman" w:hAnsi="Times New Roman" w:eastAsia="Times New Roman"/>
          <w:color w:val="231F20"/>
          <w:u w:val="single" w:color="231F20"/>
        </w:rPr>
        <w:t> </w:t>
        <w:tab/>
      </w:r>
      <w:r>
        <w:rPr>
          <w:color w:val="231F20"/>
        </w:rPr>
        <w:t>％</w:t>
      </w:r>
      <w:r>
        <w:rPr>
          <w:color w:val="231F20"/>
          <w:spacing w:val="-83"/>
        </w:rPr>
        <w:t>”。</w:t>
      </w:r>
    </w:p>
    <w:p>
      <w:pPr>
        <w:pStyle w:val="BodyText"/>
        <w:tabs>
          <w:tab w:pos="1158" w:val="left" w:leader="none"/>
        </w:tabs>
        <w:ind w:left="557"/>
      </w:pPr>
      <w:r>
        <w:rPr>
          <w:color w:val="231F20"/>
        </w:rPr>
        <w:t>39.3</w:t>
        <w:tab/>
        <w:t>变更指示</w:t>
      </w:r>
    </w:p>
    <w:p>
      <w:pPr>
        <w:pStyle w:val="BodyText"/>
        <w:spacing w:line="304" w:lineRule="auto"/>
        <w:ind w:left="557" w:right="5093"/>
      </w:pPr>
      <w:r>
        <w:rPr>
          <w:color w:val="231F20"/>
        </w:rPr>
        <w:t>若用于河道疏浚工程时，本款应补充： 本款增加第（ 4）项，其条文为：</w:t>
      </w:r>
    </w:p>
    <w:p>
      <w:pPr>
        <w:pStyle w:val="BodyText"/>
        <w:spacing w:line="304" w:lineRule="auto" w:before="20"/>
        <w:ind w:right="199" w:firstLine="330"/>
      </w:pPr>
      <w:r>
        <w:rPr>
          <w:color w:val="231F20"/>
        </w:rPr>
        <w:t>（ 4）河道疏浚工程的变更造成承包人无法使用原选用的疏浚设备完成变更工作量时，除非合同双方协商同意按变更处理，承包人可以不实施这项变更工作。</w:t>
      </w:r>
    </w:p>
    <w:p>
      <w:pPr>
        <w:pStyle w:val="ListParagraph"/>
        <w:numPr>
          <w:ilvl w:val="0"/>
          <w:numId w:val="17"/>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工程风险</w:t>
      </w:r>
    </w:p>
    <w:p>
      <w:pPr>
        <w:pStyle w:val="ListParagraph"/>
        <w:numPr>
          <w:ilvl w:val="1"/>
          <w:numId w:val="17"/>
        </w:numPr>
        <w:tabs>
          <w:tab w:pos="1158" w:val="left" w:leader="none"/>
          <w:tab w:pos="1159" w:val="left" w:leader="none"/>
        </w:tabs>
        <w:spacing w:line="240" w:lineRule="auto" w:before="102" w:after="0"/>
        <w:ind w:left="1158" w:right="0" w:hanging="601"/>
        <w:jc w:val="left"/>
        <w:rPr>
          <w:sz w:val="22"/>
        </w:rPr>
      </w:pPr>
      <w:r>
        <w:rPr>
          <w:color w:val="231F20"/>
          <w:sz w:val="22"/>
        </w:rPr>
        <w:t>发包人的风险</w:t>
      </w:r>
    </w:p>
    <w:p>
      <w:pPr>
        <w:pStyle w:val="BodyText"/>
        <w:spacing w:line="304" w:lineRule="auto"/>
        <w:ind w:left="557" w:right="2673"/>
      </w:pPr>
      <w:r>
        <w:rPr>
          <w:color w:val="231F20"/>
        </w:rPr>
        <w:t>若发包人指定部分材料和工程设备的供应来源时，本款应补充： 本款（ 2）项中，在“造成”后插入“材料和”三字。</w:t>
      </w:r>
    </w:p>
    <w:p>
      <w:pPr>
        <w:pStyle w:val="ListParagraph"/>
        <w:numPr>
          <w:ilvl w:val="0"/>
          <w:numId w:val="17"/>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工程保险和风险损失的补偿</w:t>
      </w:r>
    </w:p>
    <w:p>
      <w:pPr>
        <w:pStyle w:val="ListParagraph"/>
        <w:numPr>
          <w:ilvl w:val="1"/>
          <w:numId w:val="17"/>
        </w:numPr>
        <w:tabs>
          <w:tab w:pos="1158" w:val="left" w:leader="none"/>
          <w:tab w:pos="1159" w:val="left" w:leader="none"/>
        </w:tabs>
        <w:spacing w:line="240" w:lineRule="auto" w:before="101" w:after="0"/>
        <w:ind w:left="1158" w:right="0" w:hanging="601"/>
        <w:jc w:val="left"/>
        <w:rPr>
          <w:sz w:val="22"/>
        </w:rPr>
      </w:pPr>
      <w:r>
        <w:rPr>
          <w:color w:val="231F20"/>
          <w:sz w:val="22"/>
        </w:rPr>
        <w:t>工程和施工设备的保险</w:t>
      </w:r>
    </w:p>
    <w:p>
      <w:pPr>
        <w:pStyle w:val="BodyText"/>
        <w:spacing w:before="88"/>
        <w:ind w:left="557"/>
      </w:pPr>
      <w:r>
        <w:rPr>
          <w:color w:val="231F20"/>
        </w:rPr>
        <w:t>若由发包人投保工程险时，删去本款第（ 1）项全文，并代之以：</w:t>
      </w:r>
    </w:p>
    <w:p>
      <w:pPr>
        <w:pStyle w:val="BodyText"/>
        <w:spacing w:line="304" w:lineRule="auto" w:before="88"/>
        <w:ind w:right="199" w:firstLine="440"/>
      </w:pPr>
      <w:r>
        <w:rPr>
          <w:color w:val="231F20"/>
        </w:rPr>
        <w:t>发包人应以发包人和承包人的共同名义投保工程险（包括材料和工程设备</w:t>
      </w:r>
      <w:r>
        <w:rPr>
          <w:color w:val="231F20"/>
          <w:spacing w:val="-83"/>
        </w:rPr>
        <w:t>）</w:t>
      </w:r>
      <w:r>
        <w:rPr>
          <w:color w:val="231F20"/>
        </w:rPr>
        <w:t>。保险的工程项目和其他有关情况说明如下：</w:t>
      </w:r>
    </w:p>
    <w:p>
      <w:pPr>
        <w:pStyle w:val="BodyText"/>
        <w:spacing w:before="20"/>
        <w:ind w:left="447"/>
      </w:pPr>
      <w:r>
        <w:rPr>
          <w:color w:val="231F20"/>
        </w:rPr>
        <w:t>（根据工程具体投保情况填写）</w:t>
      </w:r>
    </w:p>
    <w:p>
      <w:pPr>
        <w:pStyle w:val="ListParagraph"/>
        <w:numPr>
          <w:ilvl w:val="0"/>
          <w:numId w:val="18"/>
        </w:numPr>
        <w:tabs>
          <w:tab w:pos="1021" w:val="left" w:leader="none"/>
          <w:tab w:pos="1022" w:val="left" w:leader="none"/>
        </w:tabs>
        <w:spacing w:line="240" w:lineRule="auto" w:before="82" w:after="0"/>
        <w:ind w:left="1021" w:right="0" w:hanging="464"/>
        <w:jc w:val="left"/>
        <w:rPr>
          <w:rFonts w:ascii="方正黑体_GBK" w:eastAsia="方正黑体_GBK" w:hint="eastAsia"/>
          <w:sz w:val="22"/>
        </w:rPr>
      </w:pPr>
      <w:r>
        <w:rPr>
          <w:rFonts w:ascii="方正黑体_GBK" w:eastAsia="方正黑体_GBK" w:hint="eastAsia"/>
          <w:color w:val="231F20"/>
          <w:sz w:val="22"/>
        </w:rPr>
        <w:t>人身和财产的损失</w:t>
      </w:r>
    </w:p>
    <w:p>
      <w:pPr>
        <w:pStyle w:val="BodyText"/>
        <w:tabs>
          <w:tab w:pos="1158" w:val="left" w:leader="none"/>
        </w:tabs>
        <w:spacing w:before="101"/>
        <w:ind w:left="557"/>
      </w:pPr>
      <w:r>
        <w:rPr>
          <w:color w:val="231F20"/>
        </w:rPr>
        <w:t>50.4</w:t>
        <w:tab/>
        <w:t>第三者责任险（包括发包人的财产）</w:t>
      </w:r>
    </w:p>
    <w:p>
      <w:pPr>
        <w:pStyle w:val="BodyText"/>
        <w:ind w:left="557"/>
      </w:pPr>
      <w:r>
        <w:rPr>
          <w:color w:val="231F20"/>
        </w:rPr>
        <w:t>若由发包人负责投保第三者责任险时，本款应作如下修改：</w:t>
      </w:r>
    </w:p>
    <w:p>
      <w:pPr>
        <w:pStyle w:val="BodyText"/>
        <w:spacing w:line="304" w:lineRule="auto"/>
        <w:ind w:right="93" w:firstLine="440"/>
      </w:pPr>
      <w:r>
        <w:rPr>
          <w:color w:val="231F20"/>
        </w:rPr>
        <w:t>本款第一句中“承包人应以承包人和发包人的共同名义……”改为“发包人应以发包人和承包人的共同名义……”。</w:t>
      </w:r>
    </w:p>
    <w:p>
      <w:pPr>
        <w:pStyle w:val="ListParagraph"/>
        <w:numPr>
          <w:ilvl w:val="0"/>
          <w:numId w:val="18"/>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对各项保险的要求</w:t>
      </w:r>
    </w:p>
    <w:p>
      <w:pPr>
        <w:pStyle w:val="ListParagraph"/>
        <w:numPr>
          <w:ilvl w:val="1"/>
          <w:numId w:val="18"/>
        </w:numPr>
        <w:tabs>
          <w:tab w:pos="1158" w:val="left" w:leader="none"/>
          <w:tab w:pos="1159" w:val="left" w:leader="none"/>
        </w:tabs>
        <w:spacing w:line="240" w:lineRule="auto" w:before="101" w:after="0"/>
        <w:ind w:left="1158" w:right="0" w:hanging="601"/>
        <w:jc w:val="left"/>
        <w:rPr>
          <w:sz w:val="22"/>
        </w:rPr>
      </w:pPr>
      <w:r>
        <w:rPr>
          <w:color w:val="231F20"/>
          <w:sz w:val="22"/>
        </w:rPr>
        <w:t>保险凭证和条件</w:t>
      </w:r>
    </w:p>
    <w:p>
      <w:pPr>
        <w:pStyle w:val="BodyText"/>
        <w:spacing w:before="88"/>
        <w:ind w:left="557"/>
      </w:pPr>
      <w:r>
        <w:rPr>
          <w:color w:val="231F20"/>
        </w:rPr>
        <w:t>若由发包人负责投保工程险和第三者责任险时，本款应作如下修改：</w:t>
      </w:r>
    </w:p>
    <w:p>
      <w:pPr>
        <w:pStyle w:val="BodyText"/>
        <w:spacing w:before="88"/>
        <w:ind w:left="557"/>
      </w:pPr>
      <w:r>
        <w:rPr>
          <w:color w:val="231F20"/>
        </w:rPr>
        <w:t>本款第一句中“承包人应向发包人提交按合同规定的各项保险合同的副本。……”改为“发</w:t>
      </w:r>
    </w:p>
    <w:p>
      <w:pPr>
        <w:spacing w:after="0"/>
        <w:sectPr>
          <w:pgSz w:w="11910" w:h="16840"/>
          <w:pgMar w:header="0" w:footer="832" w:top="1580" w:bottom="1020" w:left="1300" w:right="1200"/>
        </w:sectPr>
      </w:pPr>
    </w:p>
    <w:p>
      <w:pPr>
        <w:pStyle w:val="BodyText"/>
        <w:spacing w:before="24"/>
      </w:pPr>
      <w:r>
        <w:rPr>
          <w:color w:val="231F20"/>
        </w:rPr>
        <w:t>包人和承包人应相互提交按合同规定的各项保险合同的副本。……”</w:t>
      </w:r>
    </w:p>
    <w:p>
      <w:pPr>
        <w:pStyle w:val="ListParagraph"/>
        <w:numPr>
          <w:ilvl w:val="1"/>
          <w:numId w:val="18"/>
        </w:numPr>
        <w:tabs>
          <w:tab w:pos="1158" w:val="left" w:leader="none"/>
          <w:tab w:pos="1159" w:val="left" w:leader="none"/>
        </w:tabs>
        <w:spacing w:line="240" w:lineRule="auto" w:before="89" w:after="0"/>
        <w:ind w:left="1158" w:right="0" w:hanging="601"/>
        <w:jc w:val="left"/>
        <w:rPr>
          <w:sz w:val="22"/>
        </w:rPr>
      </w:pPr>
      <w:r>
        <w:rPr>
          <w:color w:val="231F20"/>
          <w:sz w:val="22"/>
        </w:rPr>
        <w:t>保险合同条件的变动</w:t>
      </w:r>
    </w:p>
    <w:p>
      <w:pPr>
        <w:pStyle w:val="BodyText"/>
        <w:spacing w:line="304" w:lineRule="auto"/>
        <w:ind w:left="557" w:right="2133"/>
      </w:pPr>
      <w:r>
        <w:rPr>
          <w:color w:val="231F20"/>
        </w:rPr>
        <w:t>若由发包人负责投保工程险和第三者责任险时，本款应作如下修改： 删去本款全文，并代之以：</w:t>
      </w:r>
    </w:p>
    <w:p>
      <w:pPr>
        <w:pStyle w:val="BodyText"/>
        <w:spacing w:line="304" w:lineRule="auto" w:before="21"/>
        <w:ind w:right="103" w:firstLine="330"/>
      </w:pPr>
      <w:r>
        <w:rPr>
          <w:color w:val="231F20"/>
        </w:rPr>
        <w:t>“发包人或承包人需要与保险公司协商变动各自投保的保险合同条件时，应事先征得另一方的同意，并通知监理人。”</w:t>
      </w:r>
    </w:p>
    <w:p>
      <w:pPr>
        <w:pStyle w:val="ListParagraph"/>
        <w:numPr>
          <w:ilvl w:val="1"/>
          <w:numId w:val="18"/>
        </w:numPr>
        <w:tabs>
          <w:tab w:pos="1158" w:val="left" w:leader="none"/>
          <w:tab w:pos="1159" w:val="left" w:leader="none"/>
        </w:tabs>
        <w:spacing w:line="240" w:lineRule="auto" w:before="21" w:after="0"/>
        <w:ind w:left="1158" w:right="0" w:hanging="601"/>
        <w:jc w:val="left"/>
        <w:rPr>
          <w:sz w:val="22"/>
        </w:rPr>
      </w:pPr>
      <w:r>
        <w:rPr>
          <w:color w:val="231F20"/>
          <w:sz w:val="22"/>
        </w:rPr>
        <w:t>未按规定投保的补救</w:t>
      </w:r>
    </w:p>
    <w:p>
      <w:pPr>
        <w:pStyle w:val="BodyText"/>
        <w:spacing w:line="304" w:lineRule="auto"/>
        <w:ind w:left="557" w:right="2133"/>
      </w:pPr>
      <w:r>
        <w:rPr>
          <w:color w:val="231F20"/>
        </w:rPr>
        <w:t>若由发包人负责投保工程险和第三者责任险时，本款应作如下修改： 删去本款全文，并代之以：</w:t>
      </w:r>
    </w:p>
    <w:p>
      <w:pPr>
        <w:pStyle w:val="BodyText"/>
        <w:spacing w:line="304" w:lineRule="auto" w:before="21"/>
        <w:ind w:firstLine="330"/>
      </w:pPr>
      <w:r>
        <w:rPr>
          <w:color w:val="231F20"/>
        </w:rPr>
        <w:t>“发包人或承包人在承包人接到开工通知日后 84 天内未按合同规定的条件办理保险，则另一方可以代为办理，所需费用由合同规定的投保责任方承担。”</w:t>
      </w:r>
    </w:p>
    <w:p>
      <w:pPr>
        <w:pStyle w:val="BodyText"/>
        <w:tabs>
          <w:tab w:pos="1021" w:val="left" w:leader="none"/>
        </w:tabs>
        <w:spacing w:before="15"/>
        <w:ind w:left="557"/>
        <w:rPr>
          <w:rFonts w:ascii="方正黑体_GBK" w:eastAsia="方正黑体_GBK" w:hint="eastAsia"/>
        </w:rPr>
      </w:pPr>
      <w:r>
        <w:rPr>
          <w:rFonts w:ascii="方正黑体_GBK" w:eastAsia="方正黑体_GBK" w:hint="eastAsia"/>
          <w:color w:val="231F20"/>
        </w:rPr>
        <w:t>53</w:t>
        <w:tab/>
        <w:t>工程保修</w:t>
      </w:r>
    </w:p>
    <w:p>
      <w:pPr>
        <w:pStyle w:val="BodyText"/>
        <w:tabs>
          <w:tab w:pos="1158" w:val="left" w:leader="none"/>
        </w:tabs>
        <w:spacing w:before="102"/>
        <w:ind w:left="557"/>
      </w:pPr>
      <w:r>
        <w:rPr>
          <w:color w:val="231F20"/>
        </w:rPr>
        <w:t>53.1</w:t>
        <w:tab/>
        <w:t>保修期</w:t>
      </w:r>
    </w:p>
    <w:p>
      <w:pPr>
        <w:pStyle w:val="BodyText"/>
        <w:tabs>
          <w:tab w:pos="3637" w:val="left" w:leader="none"/>
        </w:tabs>
        <w:ind w:left="557"/>
      </w:pPr>
      <w:r>
        <w:rPr>
          <w:color w:val="231F20"/>
        </w:rPr>
        <w:t>本合同工程的保险期为</w:t>
      </w:r>
      <w:r>
        <w:rPr>
          <w:color w:val="231F20"/>
          <w:u w:val="single" w:color="231F20"/>
        </w:rPr>
        <w:t> </w:t>
        <w:tab/>
      </w:r>
      <w:r>
        <w:rPr>
          <w:color w:val="231F20"/>
        </w:rPr>
        <w:t>年。</w:t>
      </w:r>
    </w:p>
    <w:p>
      <w:pPr>
        <w:pStyle w:val="BodyText"/>
        <w:ind w:left="557"/>
      </w:pPr>
      <w:r>
        <w:rPr>
          <w:color w:val="231F20"/>
        </w:rPr>
        <w:t>增加条款：用于河道疏浚时，增加下款：</w:t>
      </w:r>
    </w:p>
    <w:p>
      <w:pPr>
        <w:pStyle w:val="BodyText"/>
        <w:tabs>
          <w:tab w:pos="1158" w:val="left" w:leader="none"/>
        </w:tabs>
        <w:ind w:left="557"/>
      </w:pPr>
      <w:r>
        <w:rPr>
          <w:color w:val="231F20"/>
        </w:rPr>
        <w:t>53.4</w:t>
        <w:tab/>
        <w:t>疏浚工程无保修责任</w:t>
      </w:r>
    </w:p>
    <w:p>
      <w:pPr>
        <w:pStyle w:val="BodyText"/>
        <w:spacing w:line="304" w:lineRule="auto"/>
        <w:ind w:firstLine="440"/>
      </w:pPr>
      <w:r>
        <w:rPr>
          <w:color w:val="231F20"/>
        </w:rPr>
        <w:t>疏浚工程无保修期，承包人对已完工验收的疏浚工程，在工程移交证书写明的完工日期后所发生的工程缺陷，河道缩窄或其它不合格之处，都不承担保修责任。</w:t>
      </w:r>
    </w:p>
    <w:p>
      <w:pPr>
        <w:pStyle w:val="ListParagraph"/>
        <w:numPr>
          <w:ilvl w:val="0"/>
          <w:numId w:val="19"/>
        </w:numPr>
        <w:tabs>
          <w:tab w:pos="1021" w:val="left" w:leader="none"/>
          <w:tab w:pos="1022" w:val="left" w:leader="none"/>
        </w:tabs>
        <w:spacing w:line="240" w:lineRule="auto" w:before="15" w:after="0"/>
        <w:ind w:left="1021" w:right="0" w:hanging="464"/>
        <w:jc w:val="left"/>
        <w:rPr>
          <w:rFonts w:ascii="方正黑体_GBK" w:eastAsia="方正黑体_GBK" w:hint="eastAsia"/>
          <w:sz w:val="22"/>
        </w:rPr>
      </w:pPr>
      <w:r>
        <w:rPr>
          <w:rFonts w:ascii="方正黑体_GBK" w:eastAsia="方正黑体_GBK" w:hint="eastAsia"/>
          <w:color w:val="231F20"/>
          <w:sz w:val="22"/>
        </w:rPr>
        <w:t>合同生效和终止</w:t>
      </w:r>
    </w:p>
    <w:p>
      <w:pPr>
        <w:pStyle w:val="BodyText"/>
        <w:tabs>
          <w:tab w:pos="1158" w:val="left" w:leader="none"/>
        </w:tabs>
        <w:spacing w:before="102"/>
        <w:ind w:left="557"/>
      </w:pPr>
      <w:r>
        <w:rPr>
          <w:color w:val="231F20"/>
        </w:rPr>
        <w:t>60.1</w:t>
        <w:tab/>
        <w:t>合同生效</w:t>
      </w:r>
    </w:p>
    <w:p>
      <w:pPr>
        <w:pStyle w:val="BodyText"/>
        <w:ind w:left="557"/>
      </w:pPr>
      <w:r>
        <w:rPr>
          <w:color w:val="231F20"/>
        </w:rPr>
        <w:t>若规定合同需经公证或鉴证时，本款应作如下修改：</w:t>
      </w:r>
    </w:p>
    <w:p>
      <w:pPr>
        <w:pStyle w:val="BodyText"/>
        <w:spacing w:line="304" w:lineRule="auto"/>
        <w:ind w:left="557" w:right="2133"/>
      </w:pPr>
      <w:r>
        <w:rPr>
          <w:color w:val="231F20"/>
        </w:rPr>
        <w:t>在“……签字并盖公章”与“后”之间插入“和办理公证或鉴证”。增加条款：若合同需要保密时，增加下条：</w:t>
      </w:r>
    </w:p>
    <w:p>
      <w:pPr>
        <w:pStyle w:val="ListParagraph"/>
        <w:numPr>
          <w:ilvl w:val="0"/>
          <w:numId w:val="19"/>
        </w:numPr>
        <w:tabs>
          <w:tab w:pos="1021" w:val="left" w:leader="none"/>
          <w:tab w:pos="1022" w:val="left" w:leader="none"/>
        </w:tabs>
        <w:spacing w:line="240" w:lineRule="auto" w:before="14" w:after="0"/>
        <w:ind w:left="1021" w:right="0" w:hanging="464"/>
        <w:jc w:val="left"/>
        <w:rPr>
          <w:rFonts w:ascii="方正黑体_GBK" w:eastAsia="方正黑体_GBK" w:hint="eastAsia"/>
          <w:sz w:val="22"/>
        </w:rPr>
      </w:pPr>
      <w:r>
        <w:rPr>
          <w:rFonts w:ascii="方正黑体_GBK" w:eastAsia="方正黑体_GBK" w:hint="eastAsia"/>
          <w:color w:val="231F20"/>
          <w:sz w:val="22"/>
        </w:rPr>
        <w:t>保密</w:t>
      </w:r>
    </w:p>
    <w:p>
      <w:pPr>
        <w:pStyle w:val="BodyText"/>
        <w:spacing w:line="304" w:lineRule="auto" w:before="101"/>
        <w:ind w:firstLine="440"/>
      </w:pPr>
      <w:r>
        <w:rPr>
          <w:color w:val="231F20"/>
        </w:rPr>
        <w:t>除第 9.5 款和第 58 条（ 3）项规定外，双方还应对本合同内容及双方相互提供标有密级的文件保密，未经许可不得泄露给与本合同无关的第三方，违者应对泄密造成的后果承担责任。</w:t>
      </w:r>
    </w:p>
    <w:p>
      <w:pPr>
        <w:pStyle w:val="BodyText"/>
        <w:spacing w:before="20"/>
        <w:ind w:left="557"/>
      </w:pPr>
      <w:r>
        <w:rPr>
          <w:color w:val="231F20"/>
        </w:rPr>
        <w:t>增加条款：若承包人为联合体时，增加下条：</w:t>
      </w:r>
    </w:p>
    <w:p>
      <w:pPr>
        <w:pStyle w:val="ListParagraph"/>
        <w:numPr>
          <w:ilvl w:val="0"/>
          <w:numId w:val="19"/>
        </w:numPr>
        <w:tabs>
          <w:tab w:pos="1021" w:val="left" w:leader="none"/>
          <w:tab w:pos="1022" w:val="left" w:leader="none"/>
        </w:tabs>
        <w:spacing w:line="240" w:lineRule="auto" w:before="82" w:after="0"/>
        <w:ind w:left="1021" w:right="0" w:hanging="464"/>
        <w:jc w:val="left"/>
        <w:rPr>
          <w:rFonts w:ascii="方正黑体_GBK" w:eastAsia="方正黑体_GBK" w:hint="eastAsia"/>
          <w:sz w:val="22"/>
        </w:rPr>
      </w:pPr>
      <w:r>
        <w:rPr>
          <w:rFonts w:ascii="方正黑体_GBK" w:eastAsia="方正黑体_GBK" w:hint="eastAsia"/>
          <w:color w:val="231F20"/>
          <w:sz w:val="22"/>
        </w:rPr>
        <w:t>联合体各成员承担各自的和连带的责任</w:t>
      </w:r>
    </w:p>
    <w:p>
      <w:pPr>
        <w:pStyle w:val="BodyText"/>
        <w:spacing w:line="304" w:lineRule="auto" w:before="101"/>
        <w:ind w:right="110" w:firstLine="440"/>
        <w:jc w:val="both"/>
      </w:pPr>
      <w:r>
        <w:rPr>
          <w:color w:val="231F20"/>
        </w:rPr>
        <w:t>承包人为两家或两家以上企业联合组成的联合体时，各成员应为履行本合同承担各自的和连带的责任，并应推举其中的一个成员为该联合体的负责方，代理联合体的任一方或全体成员承担本合同的责任，负责与发包人和监理人联系并接受指示，以及全面负责履行合同。经发包人确认的联合体协议和章程应作为合同文件的组成部分，在履行合同过程中，未经发包人同意，不得修改联合体协议和章程。</w:t>
      </w:r>
    </w:p>
    <w:sectPr>
      <w:footerReference w:type="even" r:id="rId23"/>
      <w:pgSz w:w="11910" w:h="16840"/>
      <w:pgMar w:footer="832" w:header="0" w:top="1580" w:bottom="102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小标宋_GBK">
    <w:altName w:val="方正小标宋_GBK"/>
    <w:charset w:val="86"/>
    <w:family w:val="script"/>
    <w:pitch w:val="fixed"/>
  </w:font>
  <w:font w:name="方正楷体_GBK">
    <w:altName w:val="方正楷体_GBK"/>
    <w:charset w:val="86"/>
    <w:family w:val="script"/>
    <w:pitch w:val="fixed"/>
  </w:font>
  <w:font w:name="方正黑体_GBK">
    <w:altName w:val="方正黑体_GBK"/>
    <w:charset w:val="86"/>
    <w:family w:val="script"/>
    <w:pitch w:val="fixed"/>
  </w:font>
  <w:font w:name="方正书宋_GBK">
    <w:altName w:val="方正书宋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512.409424pt;margin-top:789.265808pt;width:14pt;height:13.1pt;mso-position-horizontal-relative:page;mso-position-vertical-relative:page;z-index:-4432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9pt;height:13.1pt;mso-position-horizontal-relative:page;mso-position-vertical-relative:page;z-index:-4429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44272" type="#_x0000_t202" filled="false" stroked="false">
          <v:textbox inset="0,0,0,0">
            <w:txbxContent>
              <w:p>
                <w:pPr>
                  <w:spacing w:before="11"/>
                  <w:ind w:left="20" w:right="0" w:firstLine="0"/>
                  <w:jc w:val="left"/>
                  <w:rPr>
                    <w:rFonts w:ascii="Times New Roman"/>
                    <w:sz w:val="20"/>
                  </w:rPr>
                </w:pPr>
                <w:r>
                  <w:rPr>
                    <w:rFonts w:ascii="Times New Roman"/>
                    <w:color w:val="231F20"/>
                    <w:sz w:val="20"/>
                  </w:rPr>
                  <w:t>10</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780518pt;margin-top:789.265808pt;width:13.3pt;height:13.1pt;mso-position-horizontal-relative:page;mso-position-vertical-relative:page;z-index:-44248" type="#_x0000_t202" filled="false" stroked="false">
          <v:textbox inset="0,0,0,0">
            <w:txbxContent>
              <w:p>
                <w:pPr>
                  <w:spacing w:before="11"/>
                  <w:ind w:left="40" w:right="0" w:firstLine="0"/>
                  <w:jc w:val="left"/>
                  <w:rPr>
                    <w:rFonts w:ascii="Times New Roman"/>
                    <w:sz w:val="20"/>
                  </w:rPr>
                </w:pPr>
                <w:r>
                  <w:rPr>
                    <w:rFonts w:ascii="Times New Roman"/>
                    <w:color w:val="231F20"/>
                    <w:sz w:val="20"/>
                  </w:rPr>
                  <w:t>11</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4422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12</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420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44176" type="#_x0000_t202" filled="false" stroked="false">
          <v:textbox inset="0,0,0,0">
            <w:txbxContent>
              <w:p>
                <w:pPr>
                  <w:spacing w:before="11"/>
                  <w:ind w:left="20" w:right="0" w:firstLine="0"/>
                  <w:jc w:val="left"/>
                  <w:rPr>
                    <w:rFonts w:ascii="Times New Roman"/>
                    <w:sz w:val="20"/>
                  </w:rPr>
                </w:pPr>
                <w:r>
                  <w:rPr>
                    <w:rFonts w:ascii="Times New Roman"/>
                    <w:color w:val="231F20"/>
                    <w:sz w:val="20"/>
                  </w:rPr>
                  <w:t>20</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4152" type="#_x0000_t202" filled="false" stroked="false">
          <v:textbox inset="0,0,0,0">
            <w:txbxContent>
              <w:p>
                <w:pPr>
                  <w:spacing w:before="11"/>
                  <w:ind w:left="40" w:right="0" w:firstLine="0"/>
                  <w:jc w:val="left"/>
                  <w:rPr>
                    <w:rFonts w:ascii="Times New Roman"/>
                    <w:sz w:val="20"/>
                  </w:rPr>
                </w:pPr>
                <w:r>
                  <w:rPr>
                    <w:rFonts w:ascii="Times New Roman"/>
                    <w:color w:val="231F20"/>
                    <w:sz w:val="20"/>
                  </w:rPr>
                  <w:t>21</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4412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22</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410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23</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44080" type="#_x0000_t202" filled="false" stroked="false">
          <v:textbox inset="0,0,0,0">
            <w:txbxContent>
              <w:p>
                <w:pPr>
                  <w:spacing w:before="11"/>
                  <w:ind w:left="20" w:right="0" w:firstLine="0"/>
                  <w:jc w:val="left"/>
                  <w:rPr>
                    <w:rFonts w:ascii="Times New Roman"/>
                    <w:sz w:val="20"/>
                  </w:rPr>
                </w:pPr>
                <w:r>
                  <w:rPr>
                    <w:rFonts w:ascii="Times New Roman"/>
                    <w:color w:val="231F20"/>
                    <w:sz w:val="20"/>
                  </w:rPr>
                  <w:t>30</w:t>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4056" type="#_x0000_t202" filled="false" stroked="false">
          <v:textbox inset="0,0,0,0">
            <w:txbxContent>
              <w:p>
                <w:pPr>
                  <w:spacing w:before="11"/>
                  <w:ind w:left="40" w:right="0" w:firstLine="0"/>
                  <w:jc w:val="left"/>
                  <w:rPr>
                    <w:rFonts w:ascii="Times New Roman"/>
                    <w:sz w:val="20"/>
                  </w:rPr>
                </w:pPr>
                <w:r>
                  <w:rPr>
                    <w:rFonts w:ascii="Times New Roman"/>
                    <w:color w:val="231F20"/>
                    <w:sz w:val="20"/>
                  </w:rPr>
                  <w:t>31</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4403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32</w:t>
                </w:r>
                <w:r>
                  <w:rPr/>
                  <w:fldChar w:fldCharType="end"/>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400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33</w:t>
                </w:r>
                <w:r>
                  <w:rPr/>
                  <w:fldChar w:fldCharType="end"/>
                </w:r>
              </w:p>
            </w:txbxContent>
          </v:textbox>
          <w10:wrap type="non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43984" type="#_x0000_t202" filled="false" stroked="false">
          <v:textbox inset="0,0,0,0">
            <w:txbxContent>
              <w:p>
                <w:pPr>
                  <w:spacing w:before="11"/>
                  <w:ind w:left="20" w:right="0" w:firstLine="0"/>
                  <w:jc w:val="left"/>
                  <w:rPr>
                    <w:rFonts w:ascii="Times New Roman"/>
                    <w:sz w:val="20"/>
                  </w:rPr>
                </w:pPr>
                <w:r>
                  <w:rPr>
                    <w:rFonts w:ascii="Times New Roman"/>
                    <w:color w:val="231F20"/>
                    <w:sz w:val="20"/>
                  </w:rPr>
                  <w:t>40</w:t>
                </w:r>
              </w:p>
            </w:txbxContent>
          </v:textbox>
          <w10:wrap type="non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3960" type="#_x0000_t202" filled="false" stroked="false">
          <v:textbox inset="0,0,0,0">
            <w:txbxContent>
              <w:p>
                <w:pPr>
                  <w:spacing w:before="11"/>
                  <w:ind w:left="40" w:right="0" w:firstLine="0"/>
                  <w:jc w:val="left"/>
                  <w:rPr>
                    <w:rFonts w:ascii="Times New Roman"/>
                    <w:sz w:val="20"/>
                  </w:rPr>
                </w:pPr>
                <w:r>
                  <w:rPr>
                    <w:rFonts w:ascii="Times New Roman"/>
                    <w:color w:val="231F20"/>
                    <w:sz w:val="20"/>
                  </w:rPr>
                  <w:t>41</w:t>
                </w:r>
              </w:p>
            </w:txbxContent>
          </v:textbox>
          <w10:wrap type="non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4393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42</w:t>
                </w:r>
                <w:r>
                  <w:rPr/>
                  <w:fldChar w:fldCharType="end"/>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4391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43</w:t>
                </w:r>
                <w:r>
                  <w:rPr/>
                  <w:fldChar w:fldCharType="end"/>
                </w:r>
              </w:p>
            </w:txbxContent>
          </v:textbox>
          <w10:wrap type="non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43888" type="#_x0000_t202" filled="false" stroked="false">
          <v:textbox inset="0,0,0,0">
            <w:txbxContent>
              <w:p>
                <w:pPr>
                  <w:spacing w:before="11"/>
                  <w:ind w:left="20" w:right="0" w:firstLine="0"/>
                  <w:jc w:val="left"/>
                  <w:rPr>
                    <w:rFonts w:ascii="Times New Roman"/>
                    <w:sz w:val="20"/>
                  </w:rPr>
                </w:pPr>
                <w:r>
                  <w:rPr>
                    <w:rFonts w:ascii="Times New Roman"/>
                    <w:color w:val="231F20"/>
                    <w:sz w:val="20"/>
                  </w:rPr>
                  <w:t>50</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20"/>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076" w:hanging="602"/>
      </w:pPr>
      <w:rPr>
        <w:rFonts w:hint="default"/>
      </w:rPr>
    </w:lvl>
    <w:lvl w:ilvl="3">
      <w:start w:val="0"/>
      <w:numFmt w:val="bullet"/>
      <w:lvlText w:val="•"/>
      <w:lvlJc w:val="left"/>
      <w:pPr>
        <w:ind w:left="2992" w:hanging="602"/>
      </w:pPr>
      <w:rPr>
        <w:rFonts w:hint="default"/>
      </w:rPr>
    </w:lvl>
    <w:lvl w:ilvl="4">
      <w:start w:val="0"/>
      <w:numFmt w:val="bullet"/>
      <w:lvlText w:val="•"/>
      <w:lvlJc w:val="left"/>
      <w:pPr>
        <w:ind w:left="3908" w:hanging="602"/>
      </w:pPr>
      <w:rPr>
        <w:rFonts w:hint="default"/>
      </w:rPr>
    </w:lvl>
    <w:lvl w:ilvl="5">
      <w:start w:val="0"/>
      <w:numFmt w:val="bullet"/>
      <w:lvlText w:val="•"/>
      <w:lvlJc w:val="left"/>
      <w:pPr>
        <w:ind w:left="4824" w:hanging="602"/>
      </w:pPr>
      <w:rPr>
        <w:rFonts w:hint="default"/>
      </w:rPr>
    </w:lvl>
    <w:lvl w:ilvl="6">
      <w:start w:val="0"/>
      <w:numFmt w:val="bullet"/>
      <w:lvlText w:val="•"/>
      <w:lvlJc w:val="left"/>
      <w:pPr>
        <w:ind w:left="5740" w:hanging="602"/>
      </w:pPr>
      <w:rPr>
        <w:rFonts w:hint="default"/>
      </w:rPr>
    </w:lvl>
    <w:lvl w:ilvl="7">
      <w:start w:val="0"/>
      <w:numFmt w:val="bullet"/>
      <w:lvlText w:val="•"/>
      <w:lvlJc w:val="left"/>
      <w:pPr>
        <w:ind w:left="6657" w:hanging="602"/>
      </w:pPr>
      <w:rPr>
        <w:rFonts w:hint="default"/>
      </w:rPr>
    </w:lvl>
    <w:lvl w:ilvl="8">
      <w:start w:val="0"/>
      <w:numFmt w:val="bullet"/>
      <w:lvlText w:val="•"/>
      <w:lvlJc w:val="left"/>
      <w:pPr>
        <w:ind w:left="7573" w:hanging="602"/>
      </w:pPr>
      <w:rPr>
        <w:rFonts w:hint="default"/>
      </w:rPr>
    </w:lvl>
  </w:abstractNum>
  <w:abstractNum w:abstractNumId="18">
    <w:multiLevelType w:val="hybridMultilevel"/>
    <w:lvl w:ilvl="0">
      <w:start w:val="60"/>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0"/>
      <w:numFmt w:val="bullet"/>
      <w:lvlText w:val="•"/>
      <w:lvlJc w:val="left"/>
      <w:pPr>
        <w:ind w:left="1160" w:hanging="465"/>
      </w:pPr>
      <w:rPr>
        <w:rFonts w:hint="default"/>
      </w:rPr>
    </w:lvl>
    <w:lvl w:ilvl="2">
      <w:start w:val="0"/>
      <w:numFmt w:val="bullet"/>
      <w:lvlText w:val="•"/>
      <w:lvlJc w:val="left"/>
      <w:pPr>
        <w:ind w:left="2065" w:hanging="465"/>
      </w:pPr>
      <w:rPr>
        <w:rFonts w:hint="default"/>
      </w:rPr>
    </w:lvl>
    <w:lvl w:ilvl="3">
      <w:start w:val="0"/>
      <w:numFmt w:val="bullet"/>
      <w:lvlText w:val="•"/>
      <w:lvlJc w:val="left"/>
      <w:pPr>
        <w:ind w:left="2970" w:hanging="465"/>
      </w:pPr>
      <w:rPr>
        <w:rFonts w:hint="default"/>
      </w:rPr>
    </w:lvl>
    <w:lvl w:ilvl="4">
      <w:start w:val="0"/>
      <w:numFmt w:val="bullet"/>
      <w:lvlText w:val="•"/>
      <w:lvlJc w:val="left"/>
      <w:pPr>
        <w:ind w:left="3875" w:hanging="465"/>
      </w:pPr>
      <w:rPr>
        <w:rFonts w:hint="default"/>
      </w:rPr>
    </w:lvl>
    <w:lvl w:ilvl="5">
      <w:start w:val="0"/>
      <w:numFmt w:val="bullet"/>
      <w:lvlText w:val="•"/>
      <w:lvlJc w:val="left"/>
      <w:pPr>
        <w:ind w:left="4780" w:hanging="465"/>
      </w:pPr>
      <w:rPr>
        <w:rFonts w:hint="default"/>
      </w:rPr>
    </w:lvl>
    <w:lvl w:ilvl="6">
      <w:start w:val="0"/>
      <w:numFmt w:val="bullet"/>
      <w:lvlText w:val="•"/>
      <w:lvlJc w:val="left"/>
      <w:pPr>
        <w:ind w:left="5685" w:hanging="465"/>
      </w:pPr>
      <w:rPr>
        <w:rFonts w:hint="default"/>
      </w:rPr>
    </w:lvl>
    <w:lvl w:ilvl="7">
      <w:start w:val="0"/>
      <w:numFmt w:val="bullet"/>
      <w:lvlText w:val="•"/>
      <w:lvlJc w:val="left"/>
      <w:pPr>
        <w:ind w:left="6590" w:hanging="465"/>
      </w:pPr>
      <w:rPr>
        <w:rFonts w:hint="default"/>
      </w:rPr>
    </w:lvl>
    <w:lvl w:ilvl="8">
      <w:start w:val="0"/>
      <w:numFmt w:val="bullet"/>
      <w:lvlText w:val="•"/>
      <w:lvlJc w:val="left"/>
      <w:pPr>
        <w:ind w:left="7495" w:hanging="465"/>
      </w:pPr>
      <w:rPr>
        <w:rFonts w:hint="default"/>
      </w:rPr>
    </w:lvl>
  </w:abstractNum>
  <w:abstractNum w:abstractNumId="17">
    <w:multiLevelType w:val="hybridMultilevel"/>
    <w:lvl w:ilvl="0">
      <w:start w:val="50"/>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076" w:hanging="602"/>
      </w:pPr>
      <w:rPr>
        <w:rFonts w:hint="default"/>
      </w:rPr>
    </w:lvl>
    <w:lvl w:ilvl="3">
      <w:start w:val="0"/>
      <w:numFmt w:val="bullet"/>
      <w:lvlText w:val="•"/>
      <w:lvlJc w:val="left"/>
      <w:pPr>
        <w:ind w:left="2992" w:hanging="602"/>
      </w:pPr>
      <w:rPr>
        <w:rFonts w:hint="default"/>
      </w:rPr>
    </w:lvl>
    <w:lvl w:ilvl="4">
      <w:start w:val="0"/>
      <w:numFmt w:val="bullet"/>
      <w:lvlText w:val="•"/>
      <w:lvlJc w:val="left"/>
      <w:pPr>
        <w:ind w:left="3908" w:hanging="602"/>
      </w:pPr>
      <w:rPr>
        <w:rFonts w:hint="default"/>
      </w:rPr>
    </w:lvl>
    <w:lvl w:ilvl="5">
      <w:start w:val="0"/>
      <w:numFmt w:val="bullet"/>
      <w:lvlText w:val="•"/>
      <w:lvlJc w:val="left"/>
      <w:pPr>
        <w:ind w:left="4824" w:hanging="602"/>
      </w:pPr>
      <w:rPr>
        <w:rFonts w:hint="default"/>
      </w:rPr>
    </w:lvl>
    <w:lvl w:ilvl="6">
      <w:start w:val="0"/>
      <w:numFmt w:val="bullet"/>
      <w:lvlText w:val="•"/>
      <w:lvlJc w:val="left"/>
      <w:pPr>
        <w:ind w:left="5740" w:hanging="602"/>
      </w:pPr>
      <w:rPr>
        <w:rFonts w:hint="default"/>
      </w:rPr>
    </w:lvl>
    <w:lvl w:ilvl="7">
      <w:start w:val="0"/>
      <w:numFmt w:val="bullet"/>
      <w:lvlText w:val="•"/>
      <w:lvlJc w:val="left"/>
      <w:pPr>
        <w:ind w:left="6657" w:hanging="602"/>
      </w:pPr>
      <w:rPr>
        <w:rFonts w:hint="default"/>
      </w:rPr>
    </w:lvl>
    <w:lvl w:ilvl="8">
      <w:start w:val="0"/>
      <w:numFmt w:val="bullet"/>
      <w:lvlText w:val="•"/>
      <w:lvlJc w:val="left"/>
      <w:pPr>
        <w:ind w:left="7573" w:hanging="602"/>
      </w:pPr>
      <w:rPr>
        <w:rFonts w:hint="default"/>
      </w:rPr>
    </w:lvl>
  </w:abstractNum>
  <w:abstractNum w:abstractNumId="16">
    <w:multiLevelType w:val="hybridMultilevel"/>
    <w:lvl w:ilvl="0">
      <w:start w:val="47"/>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076" w:hanging="602"/>
      </w:pPr>
      <w:rPr>
        <w:rFonts w:hint="default"/>
      </w:rPr>
    </w:lvl>
    <w:lvl w:ilvl="3">
      <w:start w:val="0"/>
      <w:numFmt w:val="bullet"/>
      <w:lvlText w:val="•"/>
      <w:lvlJc w:val="left"/>
      <w:pPr>
        <w:ind w:left="2992" w:hanging="602"/>
      </w:pPr>
      <w:rPr>
        <w:rFonts w:hint="default"/>
      </w:rPr>
    </w:lvl>
    <w:lvl w:ilvl="4">
      <w:start w:val="0"/>
      <w:numFmt w:val="bullet"/>
      <w:lvlText w:val="•"/>
      <w:lvlJc w:val="left"/>
      <w:pPr>
        <w:ind w:left="3908" w:hanging="602"/>
      </w:pPr>
      <w:rPr>
        <w:rFonts w:hint="default"/>
      </w:rPr>
    </w:lvl>
    <w:lvl w:ilvl="5">
      <w:start w:val="0"/>
      <w:numFmt w:val="bullet"/>
      <w:lvlText w:val="•"/>
      <w:lvlJc w:val="left"/>
      <w:pPr>
        <w:ind w:left="4824" w:hanging="602"/>
      </w:pPr>
      <w:rPr>
        <w:rFonts w:hint="default"/>
      </w:rPr>
    </w:lvl>
    <w:lvl w:ilvl="6">
      <w:start w:val="0"/>
      <w:numFmt w:val="bullet"/>
      <w:lvlText w:val="•"/>
      <w:lvlJc w:val="left"/>
      <w:pPr>
        <w:ind w:left="5740" w:hanging="602"/>
      </w:pPr>
      <w:rPr>
        <w:rFonts w:hint="default"/>
      </w:rPr>
    </w:lvl>
    <w:lvl w:ilvl="7">
      <w:start w:val="0"/>
      <w:numFmt w:val="bullet"/>
      <w:lvlText w:val="•"/>
      <w:lvlJc w:val="left"/>
      <w:pPr>
        <w:ind w:left="6657" w:hanging="602"/>
      </w:pPr>
      <w:rPr>
        <w:rFonts w:hint="default"/>
      </w:rPr>
    </w:lvl>
    <w:lvl w:ilvl="8">
      <w:start w:val="0"/>
      <w:numFmt w:val="bullet"/>
      <w:lvlText w:val="•"/>
      <w:lvlJc w:val="left"/>
      <w:pPr>
        <w:ind w:left="7573" w:hanging="602"/>
      </w:pPr>
      <w:rPr>
        <w:rFonts w:hint="default"/>
      </w:rPr>
    </w:lvl>
  </w:abstractNum>
  <w:abstractNum w:abstractNumId="15">
    <w:multiLevelType w:val="hybridMultilevel"/>
    <w:lvl w:ilvl="0">
      <w:start w:val="32"/>
      <w:numFmt w:val="decimal"/>
      <w:lvlText w:val="%1"/>
      <w:lvlJc w:val="left"/>
      <w:pPr>
        <w:ind w:left="1121" w:hanging="465"/>
        <w:jc w:val="righ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12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176" w:hanging="602"/>
      </w:pPr>
      <w:rPr>
        <w:rFonts w:hint="default"/>
      </w:rPr>
    </w:lvl>
    <w:lvl w:ilvl="3">
      <w:start w:val="0"/>
      <w:numFmt w:val="bullet"/>
      <w:lvlText w:val="•"/>
      <w:lvlJc w:val="left"/>
      <w:pPr>
        <w:ind w:left="3092" w:hanging="602"/>
      </w:pPr>
      <w:rPr>
        <w:rFonts w:hint="default"/>
      </w:rPr>
    </w:lvl>
    <w:lvl w:ilvl="4">
      <w:start w:val="0"/>
      <w:numFmt w:val="bullet"/>
      <w:lvlText w:val="•"/>
      <w:lvlJc w:val="left"/>
      <w:pPr>
        <w:ind w:left="4008" w:hanging="602"/>
      </w:pPr>
      <w:rPr>
        <w:rFonts w:hint="default"/>
      </w:rPr>
    </w:lvl>
    <w:lvl w:ilvl="5">
      <w:start w:val="0"/>
      <w:numFmt w:val="bullet"/>
      <w:lvlText w:val="•"/>
      <w:lvlJc w:val="left"/>
      <w:pPr>
        <w:ind w:left="4924" w:hanging="602"/>
      </w:pPr>
      <w:rPr>
        <w:rFonts w:hint="default"/>
      </w:rPr>
    </w:lvl>
    <w:lvl w:ilvl="6">
      <w:start w:val="0"/>
      <w:numFmt w:val="bullet"/>
      <w:lvlText w:val="•"/>
      <w:lvlJc w:val="left"/>
      <w:pPr>
        <w:ind w:left="5840" w:hanging="602"/>
      </w:pPr>
      <w:rPr>
        <w:rFonts w:hint="default"/>
      </w:rPr>
    </w:lvl>
    <w:lvl w:ilvl="7">
      <w:start w:val="0"/>
      <w:numFmt w:val="bullet"/>
      <w:lvlText w:val="•"/>
      <w:lvlJc w:val="left"/>
      <w:pPr>
        <w:ind w:left="6757" w:hanging="602"/>
      </w:pPr>
      <w:rPr>
        <w:rFonts w:hint="default"/>
      </w:rPr>
    </w:lvl>
    <w:lvl w:ilvl="8">
      <w:start w:val="0"/>
      <w:numFmt w:val="bullet"/>
      <w:lvlText w:val="•"/>
      <w:lvlJc w:val="left"/>
      <w:pPr>
        <w:ind w:left="7673" w:hanging="602"/>
      </w:pPr>
      <w:rPr>
        <w:rFonts w:hint="default"/>
      </w:rPr>
    </w:lvl>
  </w:abstractNum>
  <w:abstractNum w:abstractNumId="14">
    <w:multiLevelType w:val="hybridMultilevel"/>
    <w:lvl w:ilvl="0">
      <w:start w:val="20"/>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0"/>
      <w:numFmt w:val="bullet"/>
      <w:lvlText w:val="•"/>
      <w:lvlJc w:val="left"/>
      <w:pPr>
        <w:ind w:left="1020" w:hanging="465"/>
      </w:pPr>
      <w:rPr>
        <w:rFonts w:hint="default"/>
      </w:rPr>
    </w:lvl>
    <w:lvl w:ilvl="2">
      <w:start w:val="0"/>
      <w:numFmt w:val="bullet"/>
      <w:lvlText w:val="•"/>
      <w:lvlJc w:val="left"/>
      <w:pPr>
        <w:ind w:left="1120" w:hanging="465"/>
      </w:pPr>
      <w:rPr>
        <w:rFonts w:hint="default"/>
      </w:rPr>
    </w:lvl>
    <w:lvl w:ilvl="3">
      <w:start w:val="0"/>
      <w:numFmt w:val="bullet"/>
      <w:lvlText w:val="•"/>
      <w:lvlJc w:val="left"/>
      <w:pPr>
        <w:ind w:left="1260" w:hanging="465"/>
      </w:pPr>
      <w:rPr>
        <w:rFonts w:hint="default"/>
      </w:rPr>
    </w:lvl>
    <w:lvl w:ilvl="4">
      <w:start w:val="0"/>
      <w:numFmt w:val="bullet"/>
      <w:lvlText w:val="•"/>
      <w:lvlJc w:val="left"/>
      <w:pPr>
        <w:ind w:left="2420" w:hanging="465"/>
      </w:pPr>
      <w:rPr>
        <w:rFonts w:hint="default"/>
      </w:rPr>
    </w:lvl>
    <w:lvl w:ilvl="5">
      <w:start w:val="0"/>
      <w:numFmt w:val="bullet"/>
      <w:lvlText w:val="•"/>
      <w:lvlJc w:val="left"/>
      <w:pPr>
        <w:ind w:left="3581" w:hanging="465"/>
      </w:pPr>
      <w:rPr>
        <w:rFonts w:hint="default"/>
      </w:rPr>
    </w:lvl>
    <w:lvl w:ilvl="6">
      <w:start w:val="0"/>
      <w:numFmt w:val="bullet"/>
      <w:lvlText w:val="•"/>
      <w:lvlJc w:val="left"/>
      <w:pPr>
        <w:ind w:left="4742" w:hanging="465"/>
      </w:pPr>
      <w:rPr>
        <w:rFonts w:hint="default"/>
      </w:rPr>
    </w:lvl>
    <w:lvl w:ilvl="7">
      <w:start w:val="0"/>
      <w:numFmt w:val="bullet"/>
      <w:lvlText w:val="•"/>
      <w:lvlJc w:val="left"/>
      <w:pPr>
        <w:ind w:left="5903" w:hanging="465"/>
      </w:pPr>
      <w:rPr>
        <w:rFonts w:hint="default"/>
      </w:rPr>
    </w:lvl>
    <w:lvl w:ilvl="8">
      <w:start w:val="0"/>
      <w:numFmt w:val="bullet"/>
      <w:lvlText w:val="•"/>
      <w:lvlJc w:val="left"/>
      <w:pPr>
        <w:ind w:left="7063" w:hanging="465"/>
      </w:pPr>
      <w:rPr>
        <w:rFonts w:hint="default"/>
      </w:rPr>
    </w:lvl>
  </w:abstractNum>
  <w:abstractNum w:abstractNumId="13">
    <w:multiLevelType w:val="hybridMultilevel"/>
    <w:lvl w:ilvl="0">
      <w:start w:val="17"/>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0"/>
      <w:numFmt w:val="bullet"/>
      <w:lvlText w:val="•"/>
      <w:lvlJc w:val="left"/>
      <w:pPr>
        <w:ind w:left="1160" w:hanging="465"/>
      </w:pPr>
      <w:rPr>
        <w:rFonts w:hint="default"/>
      </w:rPr>
    </w:lvl>
    <w:lvl w:ilvl="2">
      <w:start w:val="0"/>
      <w:numFmt w:val="bullet"/>
      <w:lvlText w:val="•"/>
      <w:lvlJc w:val="left"/>
      <w:pPr>
        <w:ind w:left="2073" w:hanging="465"/>
      </w:pPr>
      <w:rPr>
        <w:rFonts w:hint="default"/>
      </w:rPr>
    </w:lvl>
    <w:lvl w:ilvl="3">
      <w:start w:val="0"/>
      <w:numFmt w:val="bullet"/>
      <w:lvlText w:val="•"/>
      <w:lvlJc w:val="left"/>
      <w:pPr>
        <w:ind w:left="2987" w:hanging="465"/>
      </w:pPr>
      <w:rPr>
        <w:rFonts w:hint="default"/>
      </w:rPr>
    </w:lvl>
    <w:lvl w:ilvl="4">
      <w:start w:val="0"/>
      <w:numFmt w:val="bullet"/>
      <w:lvlText w:val="•"/>
      <w:lvlJc w:val="left"/>
      <w:pPr>
        <w:ind w:left="3901" w:hanging="465"/>
      </w:pPr>
      <w:rPr>
        <w:rFonts w:hint="default"/>
      </w:rPr>
    </w:lvl>
    <w:lvl w:ilvl="5">
      <w:start w:val="0"/>
      <w:numFmt w:val="bullet"/>
      <w:lvlText w:val="•"/>
      <w:lvlJc w:val="left"/>
      <w:pPr>
        <w:ind w:left="4815" w:hanging="465"/>
      </w:pPr>
      <w:rPr>
        <w:rFonts w:hint="default"/>
      </w:rPr>
    </w:lvl>
    <w:lvl w:ilvl="6">
      <w:start w:val="0"/>
      <w:numFmt w:val="bullet"/>
      <w:lvlText w:val="•"/>
      <w:lvlJc w:val="left"/>
      <w:pPr>
        <w:ind w:left="5729" w:hanging="465"/>
      </w:pPr>
      <w:rPr>
        <w:rFonts w:hint="default"/>
      </w:rPr>
    </w:lvl>
    <w:lvl w:ilvl="7">
      <w:start w:val="0"/>
      <w:numFmt w:val="bullet"/>
      <w:lvlText w:val="•"/>
      <w:lvlJc w:val="left"/>
      <w:pPr>
        <w:ind w:left="6643" w:hanging="465"/>
      </w:pPr>
      <w:rPr>
        <w:rFonts w:hint="default"/>
      </w:rPr>
    </w:lvl>
    <w:lvl w:ilvl="8">
      <w:start w:val="0"/>
      <w:numFmt w:val="bullet"/>
      <w:lvlText w:val="•"/>
      <w:lvlJc w:val="left"/>
      <w:pPr>
        <w:ind w:left="7557" w:hanging="465"/>
      </w:pPr>
      <w:rPr>
        <w:rFonts w:hint="default"/>
      </w:rPr>
    </w:lvl>
  </w:abstractNum>
  <w:abstractNum w:abstractNumId="12">
    <w:multiLevelType w:val="hybridMultilevel"/>
    <w:lvl w:ilvl="0">
      <w:start w:val="14"/>
      <w:numFmt w:val="decimal"/>
      <w:lvlText w:val="%1"/>
      <w:lvlJc w:val="left"/>
      <w:pPr>
        <w:ind w:left="1158" w:hanging="602"/>
        <w:jc w:val="left"/>
      </w:pPr>
      <w:rPr>
        <w:rFonts w:hint="default"/>
      </w:rPr>
    </w:lvl>
    <w:lvl w:ilvl="1">
      <w:start w:val="2"/>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789" w:hanging="602"/>
      </w:pPr>
      <w:rPr>
        <w:rFonts w:hint="default"/>
      </w:rPr>
    </w:lvl>
    <w:lvl w:ilvl="3">
      <w:start w:val="0"/>
      <w:numFmt w:val="bullet"/>
      <w:lvlText w:val="•"/>
      <w:lvlJc w:val="left"/>
      <w:pPr>
        <w:ind w:left="3603" w:hanging="602"/>
      </w:pPr>
      <w:rPr>
        <w:rFonts w:hint="default"/>
      </w:rPr>
    </w:lvl>
    <w:lvl w:ilvl="4">
      <w:start w:val="0"/>
      <w:numFmt w:val="bullet"/>
      <w:lvlText w:val="•"/>
      <w:lvlJc w:val="left"/>
      <w:pPr>
        <w:ind w:left="4418" w:hanging="602"/>
      </w:pPr>
      <w:rPr>
        <w:rFonts w:hint="default"/>
      </w:rPr>
    </w:lvl>
    <w:lvl w:ilvl="5">
      <w:start w:val="0"/>
      <w:numFmt w:val="bullet"/>
      <w:lvlText w:val="•"/>
      <w:lvlJc w:val="left"/>
      <w:pPr>
        <w:ind w:left="5232" w:hanging="602"/>
      </w:pPr>
      <w:rPr>
        <w:rFonts w:hint="default"/>
      </w:rPr>
    </w:lvl>
    <w:lvl w:ilvl="6">
      <w:start w:val="0"/>
      <w:numFmt w:val="bullet"/>
      <w:lvlText w:val="•"/>
      <w:lvlJc w:val="left"/>
      <w:pPr>
        <w:ind w:left="6047" w:hanging="602"/>
      </w:pPr>
      <w:rPr>
        <w:rFonts w:hint="default"/>
      </w:rPr>
    </w:lvl>
    <w:lvl w:ilvl="7">
      <w:start w:val="0"/>
      <w:numFmt w:val="bullet"/>
      <w:lvlText w:val="•"/>
      <w:lvlJc w:val="left"/>
      <w:pPr>
        <w:ind w:left="6861" w:hanging="602"/>
      </w:pPr>
      <w:rPr>
        <w:rFonts w:hint="default"/>
      </w:rPr>
    </w:lvl>
    <w:lvl w:ilvl="8">
      <w:start w:val="0"/>
      <w:numFmt w:val="bullet"/>
      <w:lvlText w:val="•"/>
      <w:lvlJc w:val="left"/>
      <w:pPr>
        <w:ind w:left="7676" w:hanging="602"/>
      </w:pPr>
      <w:rPr>
        <w:rFonts w:hint="default"/>
      </w:rPr>
    </w:lvl>
  </w:abstractNum>
  <w:abstractNum w:abstractNumId="11">
    <w:multiLevelType w:val="hybridMultilevel"/>
    <w:lvl w:ilvl="0">
      <w:start w:val="11"/>
      <w:numFmt w:val="decimal"/>
      <w:lvlText w:val="%1"/>
      <w:lvlJc w:val="left"/>
      <w:pPr>
        <w:ind w:left="1021" w:hanging="465"/>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557"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940" w:hanging="602"/>
      </w:pPr>
      <w:rPr>
        <w:rFonts w:hint="default"/>
      </w:rPr>
    </w:lvl>
    <w:lvl w:ilvl="3">
      <w:start w:val="0"/>
      <w:numFmt w:val="bullet"/>
      <w:lvlText w:val="•"/>
      <w:lvlJc w:val="left"/>
      <w:pPr>
        <w:ind w:left="2861" w:hanging="602"/>
      </w:pPr>
      <w:rPr>
        <w:rFonts w:hint="default"/>
      </w:rPr>
    </w:lvl>
    <w:lvl w:ilvl="4">
      <w:start w:val="0"/>
      <w:numFmt w:val="bullet"/>
      <w:lvlText w:val="•"/>
      <w:lvlJc w:val="left"/>
      <w:pPr>
        <w:ind w:left="3781" w:hanging="602"/>
      </w:pPr>
      <w:rPr>
        <w:rFonts w:hint="default"/>
      </w:rPr>
    </w:lvl>
    <w:lvl w:ilvl="5">
      <w:start w:val="0"/>
      <w:numFmt w:val="bullet"/>
      <w:lvlText w:val="•"/>
      <w:lvlJc w:val="left"/>
      <w:pPr>
        <w:ind w:left="4702" w:hanging="602"/>
      </w:pPr>
      <w:rPr>
        <w:rFonts w:hint="default"/>
      </w:rPr>
    </w:lvl>
    <w:lvl w:ilvl="6">
      <w:start w:val="0"/>
      <w:numFmt w:val="bullet"/>
      <w:lvlText w:val="•"/>
      <w:lvlJc w:val="left"/>
      <w:pPr>
        <w:ind w:left="5623" w:hanging="602"/>
      </w:pPr>
      <w:rPr>
        <w:rFonts w:hint="default"/>
      </w:rPr>
    </w:lvl>
    <w:lvl w:ilvl="7">
      <w:start w:val="0"/>
      <w:numFmt w:val="bullet"/>
      <w:lvlText w:val="•"/>
      <w:lvlJc w:val="left"/>
      <w:pPr>
        <w:ind w:left="6543" w:hanging="602"/>
      </w:pPr>
      <w:rPr>
        <w:rFonts w:hint="default"/>
      </w:rPr>
    </w:lvl>
    <w:lvl w:ilvl="8">
      <w:start w:val="0"/>
      <w:numFmt w:val="bullet"/>
      <w:lvlText w:val="•"/>
      <w:lvlJc w:val="left"/>
      <w:pPr>
        <w:ind w:left="7464" w:hanging="602"/>
      </w:pPr>
      <w:rPr>
        <w:rFonts w:hint="default"/>
      </w:rPr>
    </w:lvl>
  </w:abstractNum>
  <w:abstractNum w:abstractNumId="10">
    <w:multiLevelType w:val="hybridMultilevel"/>
    <w:lvl w:ilvl="0">
      <w:start w:val="6"/>
      <w:numFmt w:val="decimal"/>
      <w:lvlText w:val="%1"/>
      <w:lvlJc w:val="left"/>
      <w:pPr>
        <w:ind w:left="899" w:hanging="343"/>
        <w:jc w:val="lef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557" w:hanging="493"/>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833" w:hanging="493"/>
      </w:pPr>
      <w:rPr>
        <w:rFonts w:hint="default"/>
      </w:rPr>
    </w:lvl>
    <w:lvl w:ilvl="3">
      <w:start w:val="0"/>
      <w:numFmt w:val="bullet"/>
      <w:lvlText w:val="•"/>
      <w:lvlJc w:val="left"/>
      <w:pPr>
        <w:ind w:left="2767" w:hanging="493"/>
      </w:pPr>
      <w:rPr>
        <w:rFonts w:hint="default"/>
      </w:rPr>
    </w:lvl>
    <w:lvl w:ilvl="4">
      <w:start w:val="0"/>
      <w:numFmt w:val="bullet"/>
      <w:lvlText w:val="•"/>
      <w:lvlJc w:val="left"/>
      <w:pPr>
        <w:ind w:left="3701" w:hanging="493"/>
      </w:pPr>
      <w:rPr>
        <w:rFonts w:hint="default"/>
      </w:rPr>
    </w:lvl>
    <w:lvl w:ilvl="5">
      <w:start w:val="0"/>
      <w:numFmt w:val="bullet"/>
      <w:lvlText w:val="•"/>
      <w:lvlJc w:val="left"/>
      <w:pPr>
        <w:ind w:left="4635" w:hanging="493"/>
      </w:pPr>
      <w:rPr>
        <w:rFonts w:hint="default"/>
      </w:rPr>
    </w:lvl>
    <w:lvl w:ilvl="6">
      <w:start w:val="0"/>
      <w:numFmt w:val="bullet"/>
      <w:lvlText w:val="•"/>
      <w:lvlJc w:val="left"/>
      <w:pPr>
        <w:ind w:left="5569" w:hanging="493"/>
      </w:pPr>
      <w:rPr>
        <w:rFonts w:hint="default"/>
      </w:rPr>
    </w:lvl>
    <w:lvl w:ilvl="7">
      <w:start w:val="0"/>
      <w:numFmt w:val="bullet"/>
      <w:lvlText w:val="•"/>
      <w:lvlJc w:val="left"/>
      <w:pPr>
        <w:ind w:left="6503" w:hanging="493"/>
      </w:pPr>
      <w:rPr>
        <w:rFonts w:hint="default"/>
      </w:rPr>
    </w:lvl>
    <w:lvl w:ilvl="8">
      <w:start w:val="0"/>
      <w:numFmt w:val="bullet"/>
      <w:lvlText w:val="•"/>
      <w:lvlJc w:val="left"/>
      <w:pPr>
        <w:ind w:left="7437" w:hanging="493"/>
      </w:pPr>
      <w:rPr>
        <w:rFonts w:hint="default"/>
      </w:rPr>
    </w:lvl>
  </w:abstractNum>
  <w:abstractNum w:abstractNumId="9">
    <w:multiLevelType w:val="hybridMultilevel"/>
    <w:lvl w:ilvl="0">
      <w:start w:val="3"/>
      <w:numFmt w:val="decimal"/>
      <w:lvlText w:val="%1"/>
      <w:lvlJc w:val="left"/>
      <w:pPr>
        <w:ind w:left="899" w:hanging="343"/>
        <w:jc w:val="left"/>
      </w:pPr>
      <w:rPr>
        <w:rFonts w:hint="default" w:ascii="方正黑体_GBK" w:hAnsi="方正黑体_GBK" w:eastAsia="方正黑体_GBK" w:cs="方正黑体_GBK"/>
        <w:color w:val="231F20"/>
        <w:w w:val="100"/>
        <w:sz w:val="22"/>
        <w:szCs w:val="22"/>
      </w:rPr>
    </w:lvl>
    <w:lvl w:ilvl="1">
      <w:start w:val="0"/>
      <w:numFmt w:val="bullet"/>
      <w:lvlText w:val="•"/>
      <w:lvlJc w:val="left"/>
      <w:pPr>
        <w:ind w:left="1740" w:hanging="343"/>
      </w:pPr>
      <w:rPr>
        <w:rFonts w:hint="default"/>
      </w:rPr>
    </w:lvl>
    <w:lvl w:ilvl="2">
      <w:start w:val="0"/>
      <w:numFmt w:val="bullet"/>
      <w:lvlText w:val="•"/>
      <w:lvlJc w:val="left"/>
      <w:pPr>
        <w:ind w:left="2581" w:hanging="343"/>
      </w:pPr>
      <w:rPr>
        <w:rFonts w:hint="default"/>
      </w:rPr>
    </w:lvl>
    <w:lvl w:ilvl="3">
      <w:start w:val="0"/>
      <w:numFmt w:val="bullet"/>
      <w:lvlText w:val="•"/>
      <w:lvlJc w:val="left"/>
      <w:pPr>
        <w:ind w:left="3421" w:hanging="343"/>
      </w:pPr>
      <w:rPr>
        <w:rFonts w:hint="default"/>
      </w:rPr>
    </w:lvl>
    <w:lvl w:ilvl="4">
      <w:start w:val="0"/>
      <w:numFmt w:val="bullet"/>
      <w:lvlText w:val="•"/>
      <w:lvlJc w:val="left"/>
      <w:pPr>
        <w:ind w:left="4262" w:hanging="343"/>
      </w:pPr>
      <w:rPr>
        <w:rFonts w:hint="default"/>
      </w:rPr>
    </w:lvl>
    <w:lvl w:ilvl="5">
      <w:start w:val="0"/>
      <w:numFmt w:val="bullet"/>
      <w:lvlText w:val="•"/>
      <w:lvlJc w:val="left"/>
      <w:pPr>
        <w:ind w:left="5102" w:hanging="343"/>
      </w:pPr>
      <w:rPr>
        <w:rFonts w:hint="default"/>
      </w:rPr>
    </w:lvl>
    <w:lvl w:ilvl="6">
      <w:start w:val="0"/>
      <w:numFmt w:val="bullet"/>
      <w:lvlText w:val="•"/>
      <w:lvlJc w:val="left"/>
      <w:pPr>
        <w:ind w:left="5943" w:hanging="343"/>
      </w:pPr>
      <w:rPr>
        <w:rFonts w:hint="default"/>
      </w:rPr>
    </w:lvl>
    <w:lvl w:ilvl="7">
      <w:start w:val="0"/>
      <w:numFmt w:val="bullet"/>
      <w:lvlText w:val="•"/>
      <w:lvlJc w:val="left"/>
      <w:pPr>
        <w:ind w:left="6783" w:hanging="343"/>
      </w:pPr>
      <w:rPr>
        <w:rFonts w:hint="default"/>
      </w:rPr>
    </w:lvl>
    <w:lvl w:ilvl="8">
      <w:start w:val="0"/>
      <w:numFmt w:val="bullet"/>
      <w:lvlText w:val="•"/>
      <w:lvlJc w:val="left"/>
      <w:pPr>
        <w:ind w:left="7624" w:hanging="343"/>
      </w:pPr>
      <w:rPr>
        <w:rFonts w:hint="default"/>
      </w:rPr>
    </w:lvl>
  </w:abstractNum>
  <w:abstractNum w:abstractNumId="8">
    <w:multiLevelType w:val="hybridMultilevel"/>
    <w:lvl w:ilvl="0">
      <w:start w:val="53"/>
      <w:numFmt w:val="decimal"/>
      <w:lvlText w:val="%1"/>
      <w:lvlJc w:val="left"/>
      <w:pPr>
        <w:ind w:left="1158" w:hanging="602"/>
        <w:jc w:val="left"/>
      </w:pPr>
      <w:rPr>
        <w:rFonts w:hint="default"/>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076" w:hanging="602"/>
      </w:pPr>
      <w:rPr>
        <w:rFonts w:hint="default"/>
      </w:rPr>
    </w:lvl>
    <w:lvl w:ilvl="3">
      <w:start w:val="0"/>
      <w:numFmt w:val="bullet"/>
      <w:lvlText w:val="•"/>
      <w:lvlJc w:val="left"/>
      <w:pPr>
        <w:ind w:left="2992" w:hanging="602"/>
      </w:pPr>
      <w:rPr>
        <w:rFonts w:hint="default"/>
      </w:rPr>
    </w:lvl>
    <w:lvl w:ilvl="4">
      <w:start w:val="0"/>
      <w:numFmt w:val="bullet"/>
      <w:lvlText w:val="•"/>
      <w:lvlJc w:val="left"/>
      <w:pPr>
        <w:ind w:left="3908" w:hanging="602"/>
      </w:pPr>
      <w:rPr>
        <w:rFonts w:hint="default"/>
      </w:rPr>
    </w:lvl>
    <w:lvl w:ilvl="5">
      <w:start w:val="0"/>
      <w:numFmt w:val="bullet"/>
      <w:lvlText w:val="•"/>
      <w:lvlJc w:val="left"/>
      <w:pPr>
        <w:ind w:left="4824" w:hanging="602"/>
      </w:pPr>
      <w:rPr>
        <w:rFonts w:hint="default"/>
      </w:rPr>
    </w:lvl>
    <w:lvl w:ilvl="6">
      <w:start w:val="0"/>
      <w:numFmt w:val="bullet"/>
      <w:lvlText w:val="•"/>
      <w:lvlJc w:val="left"/>
      <w:pPr>
        <w:ind w:left="5740" w:hanging="602"/>
      </w:pPr>
      <w:rPr>
        <w:rFonts w:hint="default"/>
      </w:rPr>
    </w:lvl>
    <w:lvl w:ilvl="7">
      <w:start w:val="0"/>
      <w:numFmt w:val="bullet"/>
      <w:lvlText w:val="•"/>
      <w:lvlJc w:val="left"/>
      <w:pPr>
        <w:ind w:left="6657" w:hanging="602"/>
      </w:pPr>
      <w:rPr>
        <w:rFonts w:hint="default"/>
      </w:rPr>
    </w:lvl>
    <w:lvl w:ilvl="8">
      <w:start w:val="0"/>
      <w:numFmt w:val="bullet"/>
      <w:lvlText w:val="•"/>
      <w:lvlJc w:val="left"/>
      <w:pPr>
        <w:ind w:left="7573" w:hanging="602"/>
      </w:pPr>
      <w:rPr>
        <w:rFonts w:hint="default"/>
      </w:rPr>
    </w:lvl>
  </w:abstractNum>
  <w:abstractNum w:abstractNumId="7">
    <w:multiLevelType w:val="hybridMultilevel"/>
    <w:lvl w:ilvl="0">
      <w:start w:val="52"/>
      <w:numFmt w:val="decimal"/>
      <w:lvlText w:val="%1"/>
      <w:lvlJc w:val="left"/>
      <w:pPr>
        <w:ind w:left="1158" w:hanging="602"/>
        <w:jc w:val="left"/>
      </w:pPr>
      <w:rPr>
        <w:rFonts w:hint="default"/>
      </w:rPr>
    </w:lvl>
    <w:lvl w:ilvl="1">
      <w:start w:val="6"/>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809" w:hanging="602"/>
      </w:pPr>
      <w:rPr>
        <w:rFonts w:hint="default"/>
      </w:rPr>
    </w:lvl>
    <w:lvl w:ilvl="3">
      <w:start w:val="0"/>
      <w:numFmt w:val="bullet"/>
      <w:lvlText w:val="•"/>
      <w:lvlJc w:val="left"/>
      <w:pPr>
        <w:ind w:left="3633" w:hanging="602"/>
      </w:pPr>
      <w:rPr>
        <w:rFonts w:hint="default"/>
      </w:rPr>
    </w:lvl>
    <w:lvl w:ilvl="4">
      <w:start w:val="0"/>
      <w:numFmt w:val="bullet"/>
      <w:lvlText w:val="•"/>
      <w:lvlJc w:val="left"/>
      <w:pPr>
        <w:ind w:left="4458" w:hanging="602"/>
      </w:pPr>
      <w:rPr>
        <w:rFonts w:hint="default"/>
      </w:rPr>
    </w:lvl>
    <w:lvl w:ilvl="5">
      <w:start w:val="0"/>
      <w:numFmt w:val="bullet"/>
      <w:lvlText w:val="•"/>
      <w:lvlJc w:val="left"/>
      <w:pPr>
        <w:ind w:left="5282" w:hanging="602"/>
      </w:pPr>
      <w:rPr>
        <w:rFonts w:hint="default"/>
      </w:rPr>
    </w:lvl>
    <w:lvl w:ilvl="6">
      <w:start w:val="0"/>
      <w:numFmt w:val="bullet"/>
      <w:lvlText w:val="•"/>
      <w:lvlJc w:val="left"/>
      <w:pPr>
        <w:ind w:left="6107" w:hanging="602"/>
      </w:pPr>
      <w:rPr>
        <w:rFonts w:hint="default"/>
      </w:rPr>
    </w:lvl>
    <w:lvl w:ilvl="7">
      <w:start w:val="0"/>
      <w:numFmt w:val="bullet"/>
      <w:lvlText w:val="•"/>
      <w:lvlJc w:val="left"/>
      <w:pPr>
        <w:ind w:left="6931" w:hanging="602"/>
      </w:pPr>
      <w:rPr>
        <w:rFonts w:hint="default"/>
      </w:rPr>
    </w:lvl>
    <w:lvl w:ilvl="8">
      <w:start w:val="0"/>
      <w:numFmt w:val="bullet"/>
      <w:lvlText w:val="•"/>
      <w:lvlJc w:val="left"/>
      <w:pPr>
        <w:ind w:left="7756" w:hanging="602"/>
      </w:pPr>
      <w:rPr>
        <w:rFonts w:hint="default"/>
      </w:rPr>
    </w:lvl>
  </w:abstractNum>
  <w:abstractNum w:abstractNumId="6">
    <w:multiLevelType w:val="hybridMultilevel"/>
    <w:lvl w:ilvl="0">
      <w:start w:val="35"/>
      <w:numFmt w:val="decimal"/>
      <w:lvlText w:val="%1"/>
      <w:lvlJc w:val="left"/>
      <w:pPr>
        <w:ind w:left="1158" w:hanging="602"/>
        <w:jc w:val="left"/>
      </w:pPr>
      <w:rPr>
        <w:rFonts w:hint="default"/>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065" w:hanging="602"/>
      </w:pPr>
      <w:rPr>
        <w:rFonts w:hint="default"/>
      </w:rPr>
    </w:lvl>
    <w:lvl w:ilvl="3">
      <w:start w:val="0"/>
      <w:numFmt w:val="bullet"/>
      <w:lvlText w:val="•"/>
      <w:lvlJc w:val="left"/>
      <w:pPr>
        <w:ind w:left="2970" w:hanging="602"/>
      </w:pPr>
      <w:rPr>
        <w:rFonts w:hint="default"/>
      </w:rPr>
    </w:lvl>
    <w:lvl w:ilvl="4">
      <w:start w:val="0"/>
      <w:numFmt w:val="bullet"/>
      <w:lvlText w:val="•"/>
      <w:lvlJc w:val="left"/>
      <w:pPr>
        <w:ind w:left="3875" w:hanging="602"/>
      </w:pPr>
      <w:rPr>
        <w:rFonts w:hint="default"/>
      </w:rPr>
    </w:lvl>
    <w:lvl w:ilvl="5">
      <w:start w:val="0"/>
      <w:numFmt w:val="bullet"/>
      <w:lvlText w:val="•"/>
      <w:lvlJc w:val="left"/>
      <w:pPr>
        <w:ind w:left="4780" w:hanging="602"/>
      </w:pPr>
      <w:rPr>
        <w:rFonts w:hint="default"/>
      </w:rPr>
    </w:lvl>
    <w:lvl w:ilvl="6">
      <w:start w:val="0"/>
      <w:numFmt w:val="bullet"/>
      <w:lvlText w:val="•"/>
      <w:lvlJc w:val="left"/>
      <w:pPr>
        <w:ind w:left="5685" w:hanging="602"/>
      </w:pPr>
      <w:rPr>
        <w:rFonts w:hint="default"/>
      </w:rPr>
    </w:lvl>
    <w:lvl w:ilvl="7">
      <w:start w:val="0"/>
      <w:numFmt w:val="bullet"/>
      <w:lvlText w:val="•"/>
      <w:lvlJc w:val="left"/>
      <w:pPr>
        <w:ind w:left="6590" w:hanging="602"/>
      </w:pPr>
      <w:rPr>
        <w:rFonts w:hint="default"/>
      </w:rPr>
    </w:lvl>
    <w:lvl w:ilvl="8">
      <w:start w:val="0"/>
      <w:numFmt w:val="bullet"/>
      <w:lvlText w:val="•"/>
      <w:lvlJc w:val="left"/>
      <w:pPr>
        <w:ind w:left="7495" w:hanging="602"/>
      </w:pPr>
      <w:rPr>
        <w:rFonts w:hint="default"/>
      </w:rPr>
    </w:lvl>
  </w:abstractNum>
  <w:abstractNum w:abstractNumId="5">
    <w:multiLevelType w:val="hybridMultilevel"/>
    <w:lvl w:ilvl="0">
      <w:start w:val="33"/>
      <w:numFmt w:val="decimal"/>
      <w:lvlText w:val="%1"/>
      <w:lvlJc w:val="left"/>
      <w:pPr>
        <w:ind w:left="1158" w:hanging="602"/>
        <w:jc w:val="left"/>
      </w:pPr>
      <w:rPr>
        <w:rFonts w:hint="default"/>
      </w:rPr>
    </w:lvl>
    <w:lvl w:ilvl="1">
      <w:start w:val="2"/>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809" w:hanging="602"/>
      </w:pPr>
      <w:rPr>
        <w:rFonts w:hint="default"/>
      </w:rPr>
    </w:lvl>
    <w:lvl w:ilvl="3">
      <w:start w:val="0"/>
      <w:numFmt w:val="bullet"/>
      <w:lvlText w:val="•"/>
      <w:lvlJc w:val="left"/>
      <w:pPr>
        <w:ind w:left="3633" w:hanging="602"/>
      </w:pPr>
      <w:rPr>
        <w:rFonts w:hint="default"/>
      </w:rPr>
    </w:lvl>
    <w:lvl w:ilvl="4">
      <w:start w:val="0"/>
      <w:numFmt w:val="bullet"/>
      <w:lvlText w:val="•"/>
      <w:lvlJc w:val="left"/>
      <w:pPr>
        <w:ind w:left="4458" w:hanging="602"/>
      </w:pPr>
      <w:rPr>
        <w:rFonts w:hint="default"/>
      </w:rPr>
    </w:lvl>
    <w:lvl w:ilvl="5">
      <w:start w:val="0"/>
      <w:numFmt w:val="bullet"/>
      <w:lvlText w:val="•"/>
      <w:lvlJc w:val="left"/>
      <w:pPr>
        <w:ind w:left="5282" w:hanging="602"/>
      </w:pPr>
      <w:rPr>
        <w:rFonts w:hint="default"/>
      </w:rPr>
    </w:lvl>
    <w:lvl w:ilvl="6">
      <w:start w:val="0"/>
      <w:numFmt w:val="bullet"/>
      <w:lvlText w:val="•"/>
      <w:lvlJc w:val="left"/>
      <w:pPr>
        <w:ind w:left="6107" w:hanging="602"/>
      </w:pPr>
      <w:rPr>
        <w:rFonts w:hint="default"/>
      </w:rPr>
    </w:lvl>
    <w:lvl w:ilvl="7">
      <w:start w:val="0"/>
      <w:numFmt w:val="bullet"/>
      <w:lvlText w:val="•"/>
      <w:lvlJc w:val="left"/>
      <w:pPr>
        <w:ind w:left="6931" w:hanging="602"/>
      </w:pPr>
      <w:rPr>
        <w:rFonts w:hint="default"/>
      </w:rPr>
    </w:lvl>
    <w:lvl w:ilvl="8">
      <w:start w:val="0"/>
      <w:numFmt w:val="bullet"/>
      <w:lvlText w:val="•"/>
      <w:lvlJc w:val="left"/>
      <w:pPr>
        <w:ind w:left="7756" w:hanging="602"/>
      </w:pPr>
      <w:rPr>
        <w:rFonts w:hint="default"/>
      </w:rPr>
    </w:lvl>
  </w:abstractNum>
  <w:abstractNum w:abstractNumId="4">
    <w:multiLevelType w:val="hybridMultilevel"/>
    <w:lvl w:ilvl="0">
      <w:start w:val="29"/>
      <w:numFmt w:val="decimal"/>
      <w:lvlText w:val="%1"/>
      <w:lvlJc w:val="left"/>
      <w:pPr>
        <w:ind w:left="1158" w:hanging="602"/>
        <w:jc w:val="left"/>
      </w:pPr>
      <w:rPr>
        <w:rFonts w:hint="default"/>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789" w:hanging="602"/>
      </w:pPr>
      <w:rPr>
        <w:rFonts w:hint="default"/>
      </w:rPr>
    </w:lvl>
    <w:lvl w:ilvl="3">
      <w:start w:val="0"/>
      <w:numFmt w:val="bullet"/>
      <w:lvlText w:val="•"/>
      <w:lvlJc w:val="left"/>
      <w:pPr>
        <w:ind w:left="3603" w:hanging="602"/>
      </w:pPr>
      <w:rPr>
        <w:rFonts w:hint="default"/>
      </w:rPr>
    </w:lvl>
    <w:lvl w:ilvl="4">
      <w:start w:val="0"/>
      <w:numFmt w:val="bullet"/>
      <w:lvlText w:val="•"/>
      <w:lvlJc w:val="left"/>
      <w:pPr>
        <w:ind w:left="4418" w:hanging="602"/>
      </w:pPr>
      <w:rPr>
        <w:rFonts w:hint="default"/>
      </w:rPr>
    </w:lvl>
    <w:lvl w:ilvl="5">
      <w:start w:val="0"/>
      <w:numFmt w:val="bullet"/>
      <w:lvlText w:val="•"/>
      <w:lvlJc w:val="left"/>
      <w:pPr>
        <w:ind w:left="5232" w:hanging="602"/>
      </w:pPr>
      <w:rPr>
        <w:rFonts w:hint="default"/>
      </w:rPr>
    </w:lvl>
    <w:lvl w:ilvl="6">
      <w:start w:val="0"/>
      <w:numFmt w:val="bullet"/>
      <w:lvlText w:val="•"/>
      <w:lvlJc w:val="left"/>
      <w:pPr>
        <w:ind w:left="6047" w:hanging="602"/>
      </w:pPr>
      <w:rPr>
        <w:rFonts w:hint="default"/>
      </w:rPr>
    </w:lvl>
    <w:lvl w:ilvl="7">
      <w:start w:val="0"/>
      <w:numFmt w:val="bullet"/>
      <w:lvlText w:val="•"/>
      <w:lvlJc w:val="left"/>
      <w:pPr>
        <w:ind w:left="6861" w:hanging="602"/>
      </w:pPr>
      <w:rPr>
        <w:rFonts w:hint="default"/>
      </w:rPr>
    </w:lvl>
    <w:lvl w:ilvl="8">
      <w:start w:val="0"/>
      <w:numFmt w:val="bullet"/>
      <w:lvlText w:val="•"/>
      <w:lvlJc w:val="left"/>
      <w:pPr>
        <w:ind w:left="7676" w:hanging="602"/>
      </w:pPr>
      <w:rPr>
        <w:rFonts w:hint="default"/>
      </w:rPr>
    </w:lvl>
  </w:abstractNum>
  <w:abstractNum w:abstractNumId="3">
    <w:multiLevelType w:val="hybridMultilevel"/>
    <w:lvl w:ilvl="0">
      <w:start w:val="24"/>
      <w:numFmt w:val="decimal"/>
      <w:lvlText w:val="%1"/>
      <w:lvlJc w:val="left"/>
      <w:pPr>
        <w:ind w:left="1158" w:hanging="602"/>
        <w:jc w:val="left"/>
      </w:pPr>
      <w:rPr>
        <w:rFonts w:hint="default"/>
      </w:rPr>
    </w:lvl>
    <w:lvl w:ilvl="1">
      <w:start w:val="1"/>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793" w:hanging="602"/>
      </w:pPr>
      <w:rPr>
        <w:rFonts w:hint="default"/>
      </w:rPr>
    </w:lvl>
    <w:lvl w:ilvl="3">
      <w:start w:val="0"/>
      <w:numFmt w:val="bullet"/>
      <w:lvlText w:val="•"/>
      <w:lvlJc w:val="left"/>
      <w:pPr>
        <w:ind w:left="3609" w:hanging="602"/>
      </w:pPr>
      <w:rPr>
        <w:rFonts w:hint="default"/>
      </w:rPr>
    </w:lvl>
    <w:lvl w:ilvl="4">
      <w:start w:val="0"/>
      <w:numFmt w:val="bullet"/>
      <w:lvlText w:val="•"/>
      <w:lvlJc w:val="left"/>
      <w:pPr>
        <w:ind w:left="4426" w:hanging="602"/>
      </w:pPr>
      <w:rPr>
        <w:rFonts w:hint="default"/>
      </w:rPr>
    </w:lvl>
    <w:lvl w:ilvl="5">
      <w:start w:val="0"/>
      <w:numFmt w:val="bullet"/>
      <w:lvlText w:val="•"/>
      <w:lvlJc w:val="left"/>
      <w:pPr>
        <w:ind w:left="5242" w:hanging="602"/>
      </w:pPr>
      <w:rPr>
        <w:rFonts w:hint="default"/>
      </w:rPr>
    </w:lvl>
    <w:lvl w:ilvl="6">
      <w:start w:val="0"/>
      <w:numFmt w:val="bullet"/>
      <w:lvlText w:val="•"/>
      <w:lvlJc w:val="left"/>
      <w:pPr>
        <w:ind w:left="6059" w:hanging="602"/>
      </w:pPr>
      <w:rPr>
        <w:rFonts w:hint="default"/>
      </w:rPr>
    </w:lvl>
    <w:lvl w:ilvl="7">
      <w:start w:val="0"/>
      <w:numFmt w:val="bullet"/>
      <w:lvlText w:val="•"/>
      <w:lvlJc w:val="left"/>
      <w:pPr>
        <w:ind w:left="6875" w:hanging="602"/>
      </w:pPr>
      <w:rPr>
        <w:rFonts w:hint="default"/>
      </w:rPr>
    </w:lvl>
    <w:lvl w:ilvl="8">
      <w:start w:val="0"/>
      <w:numFmt w:val="bullet"/>
      <w:lvlText w:val="•"/>
      <w:lvlJc w:val="left"/>
      <w:pPr>
        <w:ind w:left="7692" w:hanging="602"/>
      </w:pPr>
      <w:rPr>
        <w:rFonts w:hint="default"/>
      </w:rPr>
    </w:lvl>
  </w:abstractNum>
  <w:abstractNum w:abstractNumId="2">
    <w:multiLevelType w:val="hybridMultilevel"/>
    <w:lvl w:ilvl="0">
      <w:start w:val="23"/>
      <w:numFmt w:val="decimal"/>
      <w:lvlText w:val="%1"/>
      <w:lvlJc w:val="left"/>
      <w:pPr>
        <w:ind w:left="1158" w:hanging="602"/>
        <w:jc w:val="left"/>
      </w:pPr>
      <w:rPr>
        <w:rFonts w:hint="default"/>
      </w:rPr>
    </w:lvl>
    <w:lvl w:ilvl="1">
      <w:start w:val="3"/>
      <w:numFmt w:val="decimal"/>
      <w:lvlText w:val="%1.%2"/>
      <w:lvlJc w:val="left"/>
      <w:pPr>
        <w:ind w:left="1158" w:hanging="602"/>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789" w:hanging="602"/>
      </w:pPr>
      <w:rPr>
        <w:rFonts w:hint="default"/>
      </w:rPr>
    </w:lvl>
    <w:lvl w:ilvl="3">
      <w:start w:val="0"/>
      <w:numFmt w:val="bullet"/>
      <w:lvlText w:val="•"/>
      <w:lvlJc w:val="left"/>
      <w:pPr>
        <w:ind w:left="3603" w:hanging="602"/>
      </w:pPr>
      <w:rPr>
        <w:rFonts w:hint="default"/>
      </w:rPr>
    </w:lvl>
    <w:lvl w:ilvl="4">
      <w:start w:val="0"/>
      <w:numFmt w:val="bullet"/>
      <w:lvlText w:val="•"/>
      <w:lvlJc w:val="left"/>
      <w:pPr>
        <w:ind w:left="4418" w:hanging="602"/>
      </w:pPr>
      <w:rPr>
        <w:rFonts w:hint="default"/>
      </w:rPr>
    </w:lvl>
    <w:lvl w:ilvl="5">
      <w:start w:val="0"/>
      <w:numFmt w:val="bullet"/>
      <w:lvlText w:val="•"/>
      <w:lvlJc w:val="left"/>
      <w:pPr>
        <w:ind w:left="5232" w:hanging="602"/>
      </w:pPr>
      <w:rPr>
        <w:rFonts w:hint="default"/>
      </w:rPr>
    </w:lvl>
    <w:lvl w:ilvl="6">
      <w:start w:val="0"/>
      <w:numFmt w:val="bullet"/>
      <w:lvlText w:val="•"/>
      <w:lvlJc w:val="left"/>
      <w:pPr>
        <w:ind w:left="6047" w:hanging="602"/>
      </w:pPr>
      <w:rPr>
        <w:rFonts w:hint="default"/>
      </w:rPr>
    </w:lvl>
    <w:lvl w:ilvl="7">
      <w:start w:val="0"/>
      <w:numFmt w:val="bullet"/>
      <w:lvlText w:val="•"/>
      <w:lvlJc w:val="left"/>
      <w:pPr>
        <w:ind w:left="6861" w:hanging="602"/>
      </w:pPr>
      <w:rPr>
        <w:rFonts w:hint="default"/>
      </w:rPr>
    </w:lvl>
    <w:lvl w:ilvl="8">
      <w:start w:val="0"/>
      <w:numFmt w:val="bullet"/>
      <w:lvlText w:val="•"/>
      <w:lvlJc w:val="left"/>
      <w:pPr>
        <w:ind w:left="7676" w:hanging="602"/>
      </w:pPr>
      <w:rPr>
        <w:rFonts w:hint="default"/>
      </w:rPr>
    </w:lvl>
  </w:abstractNum>
  <w:abstractNum w:abstractNumId="0">
    <w:multiLevelType w:val="hybridMultilevel"/>
    <w:lvl w:ilvl="0">
      <w:start w:val="1"/>
      <w:numFmt w:val="decimal"/>
      <w:lvlText w:val="%1"/>
      <w:lvlJc w:val="left"/>
      <w:pPr>
        <w:ind w:left="999" w:hanging="343"/>
        <w:jc w:val="right"/>
      </w:pPr>
      <w:rPr>
        <w:rFonts w:hint="default" w:ascii="方正黑体_GBK" w:hAnsi="方正黑体_GBK" w:eastAsia="方正黑体_GBK" w:cs="方正黑体_GBK"/>
        <w:color w:val="231F20"/>
        <w:w w:val="100"/>
        <w:sz w:val="22"/>
        <w:szCs w:val="22"/>
      </w:rPr>
    </w:lvl>
    <w:lvl w:ilvl="1">
      <w:start w:val="1"/>
      <w:numFmt w:val="decimal"/>
      <w:lvlText w:val="%1.%2"/>
      <w:lvlJc w:val="left"/>
      <w:pPr>
        <w:ind w:left="1149" w:hanging="493"/>
        <w:jc w:val="righ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140" w:hanging="493"/>
      </w:pPr>
      <w:rPr>
        <w:rFonts w:hint="default"/>
      </w:rPr>
    </w:lvl>
    <w:lvl w:ilvl="3">
      <w:start w:val="0"/>
      <w:numFmt w:val="bullet"/>
      <w:lvlText w:val="•"/>
      <w:lvlJc w:val="left"/>
      <w:pPr>
        <w:ind w:left="1160" w:hanging="493"/>
      </w:pPr>
      <w:rPr>
        <w:rFonts w:hint="default"/>
      </w:rPr>
    </w:lvl>
    <w:lvl w:ilvl="4">
      <w:start w:val="0"/>
      <w:numFmt w:val="bullet"/>
      <w:lvlText w:val="•"/>
      <w:lvlJc w:val="left"/>
      <w:pPr>
        <w:ind w:left="2323" w:hanging="493"/>
      </w:pPr>
      <w:rPr>
        <w:rFonts w:hint="default"/>
      </w:rPr>
    </w:lvl>
    <w:lvl w:ilvl="5">
      <w:start w:val="0"/>
      <w:numFmt w:val="bullet"/>
      <w:lvlText w:val="•"/>
      <w:lvlJc w:val="left"/>
      <w:pPr>
        <w:ind w:left="3487" w:hanging="493"/>
      </w:pPr>
      <w:rPr>
        <w:rFonts w:hint="default"/>
      </w:rPr>
    </w:lvl>
    <w:lvl w:ilvl="6">
      <w:start w:val="0"/>
      <w:numFmt w:val="bullet"/>
      <w:lvlText w:val="•"/>
      <w:lvlJc w:val="left"/>
      <w:pPr>
        <w:ind w:left="4650" w:hanging="493"/>
      </w:pPr>
      <w:rPr>
        <w:rFonts w:hint="default"/>
      </w:rPr>
    </w:lvl>
    <w:lvl w:ilvl="7">
      <w:start w:val="0"/>
      <w:numFmt w:val="bullet"/>
      <w:lvlText w:val="•"/>
      <w:lvlJc w:val="left"/>
      <w:pPr>
        <w:ind w:left="5814" w:hanging="493"/>
      </w:pPr>
      <w:rPr>
        <w:rFonts w:hint="default"/>
      </w:rPr>
    </w:lvl>
    <w:lvl w:ilvl="8">
      <w:start w:val="0"/>
      <w:numFmt w:val="bullet"/>
      <w:lvlText w:val="•"/>
      <w:lvlJc w:val="left"/>
      <w:pPr>
        <w:ind w:left="6978" w:hanging="493"/>
      </w:pPr>
      <w:rPr>
        <w:rFonts w:hint="default"/>
      </w:rPr>
    </w:lvl>
  </w:abstractNum>
  <w:num w:numId="2">
    <w:abstractNumId w:val="1"/>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spacing w:before="89"/>
      <w:ind w:left="117"/>
    </w:pPr>
    <w:rPr>
      <w:rFonts w:ascii="方正书宋_GBK" w:hAnsi="方正书宋_GBK" w:eastAsia="方正书宋_GBK" w:cs="方正书宋_GBK"/>
      <w:sz w:val="22"/>
      <w:szCs w:val="22"/>
    </w:rPr>
  </w:style>
  <w:style w:styleId="Heading1" w:type="paragraph">
    <w:name w:val="Heading 1"/>
    <w:basedOn w:val="Normal"/>
    <w:uiPriority w:val="1"/>
    <w:qFormat/>
    <w:pPr>
      <w:jc w:val="center"/>
      <w:outlineLvl w:val="1"/>
    </w:pPr>
    <w:rPr>
      <w:rFonts w:ascii="方正楷体_GBK" w:hAnsi="方正楷体_GBK" w:eastAsia="方正楷体_GBK" w:cs="方正楷体_GBK"/>
      <w:sz w:val="28"/>
      <w:szCs w:val="28"/>
    </w:rPr>
  </w:style>
  <w:style w:styleId="Heading2" w:type="paragraph">
    <w:name w:val="Heading 2"/>
    <w:basedOn w:val="Normal"/>
    <w:uiPriority w:val="1"/>
    <w:qFormat/>
    <w:pPr>
      <w:spacing w:before="171"/>
      <w:ind w:left="557"/>
      <w:outlineLvl w:val="2"/>
    </w:pPr>
    <w:rPr>
      <w:rFonts w:ascii="方正小标宋_GBK" w:hAnsi="方正小标宋_GBK" w:eastAsia="方正小标宋_GBK" w:cs="方正小标宋_GBK"/>
      <w:sz w:val="24"/>
      <w:szCs w:val="24"/>
    </w:rPr>
  </w:style>
  <w:style w:styleId="ListParagraph" w:type="paragraph">
    <w:name w:val="List Paragraph"/>
    <w:basedOn w:val="Normal"/>
    <w:uiPriority w:val="1"/>
    <w:qFormat/>
    <w:pPr>
      <w:spacing w:before="21"/>
      <w:ind w:left="1158" w:hanging="601"/>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footer" Target="footer10.xml"/><Relationship Id="rId15" Type="http://schemas.openxmlformats.org/officeDocument/2006/relationships/footer" Target="footer11.xml"/><Relationship Id="rId16" Type="http://schemas.openxmlformats.org/officeDocument/2006/relationships/footer" Target="footer12.xml"/><Relationship Id="rId17" Type="http://schemas.openxmlformats.org/officeDocument/2006/relationships/footer" Target="footer13.xml"/><Relationship Id="rId18" Type="http://schemas.openxmlformats.org/officeDocument/2006/relationships/footer" Target="footer14.xml"/><Relationship Id="rId19" Type="http://schemas.openxmlformats.org/officeDocument/2006/relationships/footer" Target="footer15.xml"/><Relationship Id="rId20" Type="http://schemas.openxmlformats.org/officeDocument/2006/relationships/footer" Target="footer16.xml"/><Relationship Id="rId21" Type="http://schemas.openxmlformats.org/officeDocument/2006/relationships/footer" Target="footer17.xml"/><Relationship Id="rId22" Type="http://schemas.openxmlformats.org/officeDocument/2006/relationships/footer" Target="footer18.xml"/><Relationship Id="rId23" Type="http://schemas.openxmlformats.org/officeDocument/2006/relationships/footer" Target="footer19.xml"/><Relationship Id="rId2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2021-12-01T23:29:51Z</dcterms:created>
  <dcterms:modified xsi:type="dcterms:W3CDTF">2021-12-01T23:29:51Z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